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right"/>
        <w:rPr>
          <w:rFonts w:ascii="宋体" w:hAnsi="宋体" w:cs="宋体"/>
          <w:b/>
          <w:bCs/>
          <w:sz w:val="72"/>
          <w:highlight w:val="none"/>
        </w:rPr>
      </w:pPr>
      <w:bookmarkStart w:id="31" w:name="_GoBack"/>
      <w:bookmarkEnd w:id="31"/>
    </w:p>
    <w:p>
      <w:pPr>
        <w:shd w:val="clear"/>
        <w:rPr>
          <w:rFonts w:ascii="宋体" w:hAnsi="宋体" w:cs="宋体"/>
          <w:b/>
          <w:bCs/>
          <w:sz w:val="72"/>
          <w:highlight w:val="none"/>
        </w:rPr>
      </w:pPr>
    </w:p>
    <w:p>
      <w:pPr>
        <w:shd w:val="clear"/>
        <w:jc w:val="center"/>
        <w:rPr>
          <w:rFonts w:ascii="宋体" w:hAnsi="宋体" w:cs="宋体"/>
          <w:b/>
          <w:bCs/>
          <w:sz w:val="72"/>
          <w:szCs w:val="72"/>
          <w:highlight w:val="none"/>
        </w:rPr>
      </w:pPr>
      <w:r>
        <w:rPr>
          <w:rFonts w:hint="eastAsia" w:ascii="宋体" w:hAnsi="宋体" w:cs="宋体"/>
          <w:b/>
          <w:bCs/>
          <w:sz w:val="72"/>
          <w:szCs w:val="72"/>
          <w:highlight w:val="none"/>
        </w:rPr>
        <w:t>招标文件</w:t>
      </w:r>
    </w:p>
    <w:p>
      <w:pPr>
        <w:shd w:val="clear"/>
        <w:jc w:val="center"/>
        <w:rPr>
          <w:rFonts w:ascii="宋体" w:hAnsi="宋体" w:cs="宋体"/>
          <w:sz w:val="52"/>
          <w:szCs w:val="52"/>
          <w:highlight w:val="none"/>
        </w:rPr>
      </w:pPr>
    </w:p>
    <w:p>
      <w:pPr>
        <w:shd w:val="clear"/>
        <w:spacing w:line="600" w:lineRule="exact"/>
        <w:ind w:right="-11" w:firstLine="719" w:firstLineChars="199"/>
        <w:rPr>
          <w:rFonts w:ascii="宋体" w:hAnsi="宋体" w:cs="宋体"/>
          <w:b/>
          <w:bCs/>
          <w:sz w:val="36"/>
          <w:szCs w:val="36"/>
          <w:highlight w:val="none"/>
        </w:rPr>
      </w:pPr>
    </w:p>
    <w:p>
      <w:pPr>
        <w:shd w:val="clear"/>
        <w:spacing w:line="600" w:lineRule="exact"/>
        <w:ind w:right="-11" w:firstLine="719" w:firstLineChars="199"/>
        <w:rPr>
          <w:rFonts w:ascii="宋体" w:hAnsi="宋体" w:cs="宋体"/>
          <w:b/>
          <w:bCs/>
          <w:sz w:val="36"/>
          <w:szCs w:val="36"/>
          <w:highlight w:val="none"/>
        </w:rPr>
      </w:pPr>
    </w:p>
    <w:p>
      <w:pPr>
        <w:shd w:val="clear"/>
        <w:spacing w:line="600" w:lineRule="exact"/>
        <w:ind w:right="-11" w:firstLine="719" w:firstLineChars="199"/>
        <w:rPr>
          <w:rFonts w:ascii="宋体" w:hAnsi="宋体" w:cs="宋体"/>
          <w:b/>
          <w:bCs/>
          <w:sz w:val="36"/>
          <w:szCs w:val="36"/>
          <w:highlight w:val="none"/>
        </w:rPr>
      </w:pPr>
    </w:p>
    <w:p>
      <w:pPr>
        <w:shd w:val="clear"/>
        <w:spacing w:line="600" w:lineRule="exact"/>
        <w:ind w:left="2402" w:leftChars="359" w:right="-11" w:hanging="1684" w:hangingChars="466"/>
        <w:rPr>
          <w:rFonts w:ascii="宋体" w:hAnsi="宋体" w:cs="宋体"/>
          <w:b/>
          <w:sz w:val="36"/>
          <w:highlight w:val="none"/>
          <w:u w:val="single"/>
        </w:rPr>
      </w:pPr>
      <w:r>
        <w:rPr>
          <w:rFonts w:hint="eastAsia" w:ascii="宋体" w:hAnsi="宋体" w:cs="宋体"/>
          <w:b/>
          <w:bCs/>
          <w:sz w:val="36"/>
          <w:szCs w:val="36"/>
          <w:highlight w:val="none"/>
        </w:rPr>
        <w:t>项目名称：</w:t>
      </w:r>
      <w:r>
        <w:rPr>
          <w:rFonts w:hint="eastAsia" w:ascii="宋体" w:hAnsi="宋体" w:cs="宋体"/>
          <w:b/>
          <w:bCs/>
          <w:sz w:val="36"/>
          <w:szCs w:val="36"/>
          <w:highlight w:val="none"/>
          <w:u w:val="single"/>
        </w:rPr>
        <w:t>石城县屏山镇琉璃坑矿区年产300万吨砂石骨料（建筑用砂岩矿）项目机电设备安装工程（</w:t>
      </w:r>
      <w:r>
        <w:rPr>
          <w:rFonts w:hint="eastAsia" w:ascii="宋体" w:hAnsi="宋体" w:cs="宋体"/>
          <w:b/>
          <w:bCs/>
          <w:sz w:val="36"/>
          <w:szCs w:val="36"/>
          <w:highlight w:val="none"/>
          <w:u w:val="single"/>
          <w:lang w:eastAsia="zh-CN"/>
        </w:rPr>
        <w:t>第三次</w:t>
      </w:r>
      <w:r>
        <w:rPr>
          <w:rFonts w:hint="eastAsia" w:ascii="宋体" w:hAnsi="宋体" w:cs="宋体"/>
          <w:b/>
          <w:bCs/>
          <w:sz w:val="36"/>
          <w:szCs w:val="36"/>
          <w:highlight w:val="none"/>
          <w:u w:val="single"/>
        </w:rPr>
        <w:t>）</w:t>
      </w:r>
    </w:p>
    <w:p>
      <w:pPr>
        <w:shd w:val="clear"/>
        <w:spacing w:line="600" w:lineRule="exact"/>
        <w:ind w:right="-11" w:firstLine="719" w:firstLineChars="199"/>
        <w:rPr>
          <w:rFonts w:ascii="宋体" w:hAnsi="宋体" w:cs="宋体"/>
          <w:b/>
          <w:bCs/>
          <w:sz w:val="36"/>
          <w:szCs w:val="36"/>
          <w:highlight w:val="none"/>
        </w:rPr>
      </w:pPr>
      <w:r>
        <w:rPr>
          <w:rFonts w:hint="eastAsia" w:ascii="宋体" w:hAnsi="宋体" w:cs="宋体"/>
          <w:b/>
          <w:sz w:val="36"/>
          <w:highlight w:val="none"/>
        </w:rPr>
        <w:t>招标编号：</w:t>
      </w:r>
      <w:r>
        <w:rPr>
          <w:rFonts w:hint="eastAsia" w:ascii="宋体" w:hAnsi="宋体" w:cs="宋体"/>
          <w:b/>
          <w:sz w:val="36"/>
          <w:highlight w:val="none"/>
          <w:u w:val="single"/>
        </w:rPr>
        <w:t>JXTC2020020331C</w:t>
      </w:r>
      <w:r>
        <w:rPr>
          <w:rFonts w:hint="eastAsia" w:ascii="宋体" w:hAnsi="宋体" w:cs="宋体"/>
          <w:b/>
          <w:sz w:val="36"/>
          <w:highlight w:val="none"/>
          <w:u w:val="single"/>
          <w:lang w:val="en-US" w:eastAsia="zh-CN"/>
        </w:rPr>
        <w:t>2</w:t>
      </w:r>
      <w:r>
        <w:rPr>
          <w:rFonts w:hint="eastAsia" w:ascii="宋体" w:hAnsi="宋体" w:cs="宋体"/>
          <w:b/>
          <w:sz w:val="36"/>
          <w:highlight w:val="none"/>
          <w:u w:val="single"/>
        </w:rPr>
        <w:t xml:space="preserve">                   </w:t>
      </w:r>
    </w:p>
    <w:p>
      <w:pPr>
        <w:pStyle w:val="20"/>
        <w:shd w:val="clear"/>
        <w:spacing w:line="600" w:lineRule="exact"/>
        <w:ind w:left="2486" w:leftChars="343" w:right="916" w:rightChars="458" w:hanging="1800" w:hangingChars="498"/>
        <w:textAlignment w:val="baseline"/>
        <w:rPr>
          <w:rFonts w:hAnsi="宋体" w:cs="宋体"/>
          <w:b/>
          <w:sz w:val="36"/>
          <w:highlight w:val="none"/>
        </w:rPr>
      </w:pPr>
      <w:r>
        <w:rPr>
          <w:rFonts w:hint="eastAsia" w:hAnsi="宋体" w:cs="宋体"/>
          <w:b/>
          <w:bCs/>
          <w:sz w:val="36"/>
          <w:szCs w:val="36"/>
          <w:highlight w:val="none"/>
        </w:rPr>
        <w:t>招 标 人：</w:t>
      </w:r>
      <w:r>
        <w:rPr>
          <w:rFonts w:hint="eastAsia" w:hAnsi="宋体" w:cs="宋体"/>
          <w:b/>
          <w:bCs/>
          <w:sz w:val="36"/>
          <w:szCs w:val="36"/>
          <w:highlight w:val="none"/>
          <w:u w:val="single"/>
        </w:rPr>
        <w:t xml:space="preserve">石城县恒鑫矿业有限公司        </w:t>
      </w:r>
    </w:p>
    <w:p>
      <w:pPr>
        <w:pStyle w:val="20"/>
        <w:shd w:val="clear"/>
        <w:spacing w:line="600" w:lineRule="exact"/>
        <w:ind w:firstLine="708" w:firstLineChars="196"/>
        <w:textAlignment w:val="baseline"/>
        <w:rPr>
          <w:rFonts w:hAnsi="宋体" w:cs="宋体"/>
          <w:b/>
          <w:bCs/>
          <w:sz w:val="36"/>
          <w:szCs w:val="36"/>
          <w:highlight w:val="none"/>
        </w:rPr>
      </w:pPr>
      <w:r>
        <w:rPr>
          <w:rFonts w:hint="eastAsia" w:hAnsi="宋体" w:cs="宋体"/>
          <w:b/>
          <w:bCs/>
          <w:sz w:val="36"/>
          <w:szCs w:val="36"/>
          <w:highlight w:val="none"/>
        </w:rPr>
        <w:t>招标代理机构：</w:t>
      </w:r>
      <w:r>
        <w:rPr>
          <w:rFonts w:hint="eastAsia" w:hAnsi="宋体" w:cs="宋体"/>
          <w:b/>
          <w:bCs/>
          <w:sz w:val="36"/>
          <w:szCs w:val="36"/>
          <w:highlight w:val="none"/>
          <w:u w:val="single"/>
        </w:rPr>
        <w:t xml:space="preserve">江西省机电设备招标有限公司    </w:t>
      </w:r>
    </w:p>
    <w:p>
      <w:pPr>
        <w:shd w:val="clear"/>
        <w:autoSpaceDE w:val="0"/>
        <w:autoSpaceDN w:val="0"/>
        <w:spacing w:line="500" w:lineRule="exact"/>
        <w:ind w:right="227" w:firstLine="719" w:firstLineChars="199"/>
        <w:textAlignment w:val="bottom"/>
        <w:rPr>
          <w:rFonts w:ascii="宋体" w:hAnsi="宋体" w:cs="宋体"/>
          <w:b/>
          <w:bCs/>
          <w:sz w:val="36"/>
          <w:szCs w:val="36"/>
          <w:highlight w:val="none"/>
        </w:rPr>
      </w:pPr>
    </w:p>
    <w:p>
      <w:pPr>
        <w:shd w:val="clear"/>
        <w:autoSpaceDE w:val="0"/>
        <w:autoSpaceDN w:val="0"/>
        <w:spacing w:line="500" w:lineRule="exact"/>
        <w:ind w:right="227" w:firstLine="719" w:firstLineChars="199"/>
        <w:textAlignment w:val="bottom"/>
        <w:rPr>
          <w:rFonts w:ascii="宋体" w:hAnsi="宋体" w:cs="宋体"/>
          <w:b/>
          <w:bCs/>
          <w:sz w:val="36"/>
          <w:szCs w:val="36"/>
          <w:highlight w:val="none"/>
        </w:rPr>
      </w:pPr>
    </w:p>
    <w:p>
      <w:pPr>
        <w:shd w:val="clear"/>
        <w:spacing w:before="120" w:beforeLines="50" w:after="120" w:afterLines="50" w:line="360" w:lineRule="auto"/>
        <w:jc w:val="center"/>
        <w:rPr>
          <w:rFonts w:ascii="宋体" w:hAnsi="宋体" w:cs="宋体"/>
          <w:b/>
          <w:spacing w:val="10"/>
          <w:sz w:val="32"/>
          <w:highlight w:val="none"/>
        </w:rPr>
      </w:pPr>
    </w:p>
    <w:p>
      <w:pPr>
        <w:shd w:val="clear"/>
        <w:spacing w:before="120" w:beforeLines="50" w:after="120" w:afterLines="50" w:line="360" w:lineRule="auto"/>
        <w:jc w:val="center"/>
        <w:rPr>
          <w:rFonts w:ascii="宋体" w:hAnsi="宋体" w:cs="宋体"/>
          <w:b/>
          <w:spacing w:val="10"/>
          <w:sz w:val="32"/>
          <w:highlight w:val="none"/>
        </w:rPr>
      </w:pPr>
    </w:p>
    <w:p>
      <w:pPr>
        <w:shd w:val="clear"/>
        <w:spacing w:before="120" w:beforeLines="50" w:after="120" w:afterLines="50" w:line="360" w:lineRule="auto"/>
        <w:jc w:val="center"/>
        <w:rPr>
          <w:rFonts w:ascii="宋体" w:hAnsi="宋体" w:cs="宋体"/>
          <w:b/>
          <w:spacing w:val="10"/>
          <w:sz w:val="32"/>
          <w:highlight w:val="none"/>
        </w:rPr>
      </w:pPr>
    </w:p>
    <w:p>
      <w:pPr>
        <w:shd w:val="clear"/>
        <w:spacing w:before="120" w:beforeLines="50" w:after="120" w:afterLines="50" w:line="360" w:lineRule="auto"/>
        <w:jc w:val="center"/>
        <w:rPr>
          <w:rFonts w:ascii="宋体" w:hAnsi="宋体" w:cs="宋体"/>
          <w:b/>
          <w:spacing w:val="10"/>
          <w:sz w:val="32"/>
          <w:highlight w:val="none"/>
        </w:rPr>
      </w:pPr>
    </w:p>
    <w:p>
      <w:pPr>
        <w:pStyle w:val="27"/>
        <w:shd w:val="clear"/>
        <w:rPr>
          <w:rFonts w:ascii="宋体" w:hAnsi="宋体" w:cs="宋体"/>
          <w:b/>
          <w:sz w:val="28"/>
          <w:szCs w:val="28"/>
          <w:highlight w:val="none"/>
        </w:rPr>
      </w:pPr>
      <w:r>
        <w:rPr>
          <w:rFonts w:hint="eastAsia" w:ascii="宋体" w:hAnsi="宋体" w:cs="宋体"/>
          <w:b/>
          <w:sz w:val="28"/>
          <w:szCs w:val="28"/>
          <w:highlight w:val="none"/>
        </w:rPr>
        <w:t>二〇二〇年十</w:t>
      </w:r>
      <w:r>
        <w:rPr>
          <w:rFonts w:hint="eastAsia" w:ascii="宋体" w:hAnsi="宋体" w:cs="宋体"/>
          <w:b/>
          <w:sz w:val="28"/>
          <w:szCs w:val="28"/>
          <w:highlight w:val="none"/>
          <w:lang w:val="en-US" w:eastAsia="zh-CN"/>
        </w:rPr>
        <w:t>一</w:t>
      </w:r>
      <w:r>
        <w:rPr>
          <w:rFonts w:hint="eastAsia" w:ascii="宋体" w:hAnsi="宋体" w:cs="宋体"/>
          <w:b/>
          <w:sz w:val="28"/>
          <w:szCs w:val="28"/>
          <w:highlight w:val="none"/>
        </w:rPr>
        <w:t>月</w:t>
      </w:r>
    </w:p>
    <w:p>
      <w:pPr>
        <w:pStyle w:val="27"/>
        <w:shd w:val="clear"/>
        <w:spacing w:line="440" w:lineRule="exact"/>
        <w:rPr>
          <w:rFonts w:ascii="宋体" w:hAnsi="宋体" w:cs="宋体"/>
          <w:b/>
          <w:sz w:val="28"/>
          <w:szCs w:val="28"/>
          <w:highlight w:val="none"/>
        </w:rPr>
      </w:pPr>
    </w:p>
    <w:p>
      <w:pPr>
        <w:pStyle w:val="27"/>
        <w:shd w:val="clear"/>
        <w:spacing w:line="480" w:lineRule="auto"/>
        <w:rPr>
          <w:rFonts w:ascii="宋体" w:hAnsi="宋体" w:cs="宋体"/>
          <w:b/>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134" w:right="1134" w:bottom="1134" w:left="1134" w:header="851" w:footer="851" w:gutter="0"/>
          <w:pgNumType w:start="0"/>
          <w:cols w:space="720" w:num="1"/>
          <w:titlePg/>
          <w:docGrid w:linePitch="285" w:charSpace="0"/>
        </w:sectPr>
      </w:pPr>
    </w:p>
    <w:p>
      <w:pPr>
        <w:pStyle w:val="27"/>
        <w:shd w:val="clear"/>
        <w:spacing w:line="480" w:lineRule="auto"/>
        <w:rPr>
          <w:rFonts w:ascii="宋体" w:hAnsi="宋体" w:cs="宋体"/>
          <w:b/>
          <w:sz w:val="28"/>
          <w:szCs w:val="28"/>
          <w:highlight w:val="none"/>
        </w:rPr>
      </w:pPr>
      <w:r>
        <w:rPr>
          <w:rFonts w:hint="eastAsia" w:ascii="宋体" w:hAnsi="宋体" w:cs="宋体"/>
          <w:b/>
          <w:sz w:val="28"/>
          <w:szCs w:val="28"/>
          <w:highlight w:val="none"/>
        </w:rPr>
        <w:t>目     录</w:t>
      </w:r>
    </w:p>
    <w:p>
      <w:pPr>
        <w:numPr>
          <w:ilvl w:val="0"/>
          <w:numId w:val="4"/>
        </w:numPr>
        <w:shd w:val="clear"/>
        <w:spacing w:line="480" w:lineRule="auto"/>
        <w:rPr>
          <w:rFonts w:ascii="宋体" w:hAnsi="宋体" w:cs="宋体"/>
          <w:b/>
          <w:sz w:val="28"/>
          <w:szCs w:val="28"/>
          <w:highlight w:val="none"/>
        </w:rPr>
      </w:pPr>
      <w:r>
        <w:rPr>
          <w:rFonts w:hint="eastAsia" w:ascii="宋体" w:hAnsi="宋体" w:cs="宋体"/>
          <w:b/>
          <w:sz w:val="28"/>
          <w:szCs w:val="28"/>
          <w:highlight w:val="none"/>
        </w:rPr>
        <w:t>招标公告…………………………………………………1</w:t>
      </w:r>
    </w:p>
    <w:p>
      <w:pPr>
        <w:numPr>
          <w:ilvl w:val="0"/>
          <w:numId w:val="4"/>
        </w:numPr>
        <w:shd w:val="clear"/>
        <w:spacing w:line="480" w:lineRule="auto"/>
        <w:rPr>
          <w:rFonts w:ascii="宋体" w:hAnsi="宋体" w:cs="宋体"/>
          <w:b/>
          <w:sz w:val="28"/>
          <w:szCs w:val="28"/>
          <w:highlight w:val="none"/>
        </w:rPr>
      </w:pPr>
      <w:r>
        <w:rPr>
          <w:rFonts w:hint="eastAsia" w:ascii="宋体" w:hAnsi="宋体" w:cs="宋体"/>
          <w:b/>
          <w:sz w:val="28"/>
          <w:szCs w:val="28"/>
          <w:highlight w:val="none"/>
        </w:rPr>
        <w:t>投标人须知………………………………………………3</w:t>
      </w:r>
    </w:p>
    <w:p>
      <w:pPr>
        <w:numPr>
          <w:ilvl w:val="0"/>
          <w:numId w:val="4"/>
        </w:numPr>
        <w:shd w:val="clear"/>
        <w:spacing w:line="480" w:lineRule="auto"/>
        <w:rPr>
          <w:rFonts w:ascii="宋体" w:hAnsi="宋体" w:cs="宋体"/>
          <w:b/>
          <w:sz w:val="28"/>
          <w:szCs w:val="28"/>
          <w:highlight w:val="none"/>
        </w:rPr>
      </w:pPr>
      <w:r>
        <w:rPr>
          <w:rFonts w:hint="eastAsia" w:ascii="宋体" w:hAnsi="宋体" w:cs="宋体"/>
          <w:b/>
          <w:sz w:val="28"/>
          <w:szCs w:val="28"/>
          <w:highlight w:val="none"/>
        </w:rPr>
        <w:t>合同主要条款……………………………………………19</w:t>
      </w:r>
    </w:p>
    <w:p>
      <w:pPr>
        <w:numPr>
          <w:ilvl w:val="0"/>
          <w:numId w:val="4"/>
        </w:numPr>
        <w:shd w:val="clear"/>
        <w:spacing w:line="480" w:lineRule="auto"/>
        <w:rPr>
          <w:rFonts w:ascii="宋体" w:hAnsi="宋体" w:cs="宋体"/>
          <w:b/>
          <w:sz w:val="28"/>
          <w:szCs w:val="28"/>
          <w:highlight w:val="none"/>
        </w:rPr>
      </w:pPr>
      <w:r>
        <w:rPr>
          <w:rFonts w:hint="eastAsia" w:ascii="宋体" w:hAnsi="宋体" w:cs="宋体"/>
          <w:b/>
          <w:sz w:val="28"/>
          <w:szCs w:val="28"/>
          <w:highlight w:val="none"/>
        </w:rPr>
        <w:t>投标文件格式……………………………………………36</w:t>
      </w:r>
    </w:p>
    <w:p>
      <w:pPr>
        <w:numPr>
          <w:ilvl w:val="0"/>
          <w:numId w:val="4"/>
        </w:numPr>
        <w:shd w:val="clear"/>
        <w:spacing w:line="480" w:lineRule="auto"/>
        <w:rPr>
          <w:rFonts w:ascii="宋体" w:hAnsi="宋体" w:cs="宋体"/>
          <w:b/>
          <w:sz w:val="28"/>
          <w:szCs w:val="28"/>
          <w:highlight w:val="none"/>
        </w:rPr>
      </w:pPr>
      <w:r>
        <w:rPr>
          <w:rFonts w:hint="eastAsia" w:ascii="宋体" w:hAnsi="宋体" w:cs="宋体"/>
          <w:b/>
          <w:sz w:val="28"/>
          <w:szCs w:val="28"/>
          <w:highlight w:val="none"/>
        </w:rPr>
        <w:t>安装施工及验收规范……………………………………50</w:t>
      </w:r>
    </w:p>
    <w:p>
      <w:pPr>
        <w:shd w:val="clear"/>
        <w:spacing w:line="480" w:lineRule="auto"/>
        <w:rPr>
          <w:rFonts w:ascii="宋体" w:hAnsi="宋体" w:cs="宋体"/>
          <w:b/>
          <w:bCs/>
          <w:sz w:val="28"/>
          <w:szCs w:val="28"/>
          <w:highlight w:val="none"/>
        </w:rPr>
      </w:pPr>
      <w:r>
        <w:rPr>
          <w:rFonts w:hint="eastAsia" w:ascii="宋体" w:hAnsi="宋体" w:cs="宋体"/>
          <w:b/>
          <w:sz w:val="28"/>
          <w:szCs w:val="28"/>
          <w:highlight w:val="none"/>
        </w:rPr>
        <w:t>第六章   项目工程量清单…………………………………………51</w:t>
      </w:r>
    </w:p>
    <w:p>
      <w:pPr>
        <w:shd w:val="clear"/>
        <w:spacing w:before="120" w:beforeLines="50" w:after="120" w:afterLines="50"/>
        <w:ind w:left="114" w:leftChars="57" w:firstLine="542" w:firstLineChars="150"/>
        <w:jc w:val="center"/>
        <w:rPr>
          <w:rFonts w:ascii="宋体" w:hAnsi="宋体" w:cs="宋体"/>
          <w:b/>
          <w:bCs/>
          <w:sz w:val="36"/>
          <w:highlight w:val="none"/>
        </w:rPr>
      </w:pPr>
    </w:p>
    <w:p>
      <w:pPr>
        <w:shd w:val="clear"/>
        <w:rPr>
          <w:rFonts w:ascii="宋体" w:hAnsi="宋体" w:cs="宋体"/>
          <w:sz w:val="36"/>
          <w:highlight w:val="none"/>
        </w:rPr>
      </w:pPr>
    </w:p>
    <w:p>
      <w:pPr>
        <w:shd w:val="clear"/>
        <w:rPr>
          <w:rFonts w:ascii="宋体" w:hAnsi="宋体" w:cs="宋体"/>
          <w:sz w:val="36"/>
          <w:highlight w:val="none"/>
        </w:rPr>
      </w:pPr>
    </w:p>
    <w:p>
      <w:pPr>
        <w:shd w:val="clear"/>
        <w:tabs>
          <w:tab w:val="left" w:pos="5409"/>
        </w:tabs>
        <w:rPr>
          <w:rFonts w:ascii="宋体" w:hAnsi="宋体" w:cs="宋体"/>
          <w:sz w:val="36"/>
          <w:highlight w:val="none"/>
        </w:rPr>
      </w:pPr>
      <w:r>
        <w:rPr>
          <w:rFonts w:hint="eastAsia" w:ascii="宋体" w:hAnsi="宋体" w:cs="宋体"/>
          <w:sz w:val="36"/>
          <w:highlight w:val="none"/>
        </w:rPr>
        <w:tab/>
      </w:r>
    </w:p>
    <w:p>
      <w:pPr>
        <w:shd w:val="clear"/>
        <w:rPr>
          <w:rFonts w:ascii="宋体" w:hAnsi="宋体" w:cs="宋体"/>
          <w:sz w:val="36"/>
          <w:highlight w:val="none"/>
        </w:rPr>
      </w:pPr>
    </w:p>
    <w:p>
      <w:pPr>
        <w:shd w:val="clear"/>
        <w:rPr>
          <w:rFonts w:ascii="宋体" w:hAnsi="宋体" w:cs="宋体"/>
          <w:sz w:val="36"/>
          <w:highlight w:val="none"/>
        </w:rPr>
        <w:sectPr>
          <w:pgSz w:w="11907" w:h="16840"/>
          <w:pgMar w:top="1134" w:right="1134" w:bottom="1134" w:left="1134" w:header="851" w:footer="851" w:gutter="0"/>
          <w:pgNumType w:start="0"/>
          <w:cols w:space="720" w:num="1"/>
          <w:titlePg/>
          <w:docGrid w:linePitch="285" w:charSpace="0"/>
        </w:sectPr>
      </w:pPr>
    </w:p>
    <w:p>
      <w:pPr>
        <w:pStyle w:val="3"/>
        <w:shd w:val="clear"/>
        <w:spacing w:before="0" w:after="0" w:line="440" w:lineRule="exact"/>
        <w:jc w:val="center"/>
        <w:rPr>
          <w:rFonts w:ascii="宋体" w:hAnsi="宋体" w:cs="宋体"/>
          <w:bCs w:val="0"/>
          <w:w w:val="80"/>
          <w:kern w:val="2"/>
          <w:sz w:val="36"/>
          <w:szCs w:val="36"/>
          <w:highlight w:val="none"/>
        </w:rPr>
      </w:pPr>
      <w:bookmarkStart w:id="0" w:name="_Toc405556524"/>
      <w:r>
        <w:rPr>
          <w:rFonts w:hint="eastAsia" w:ascii="宋体" w:hAnsi="宋体" w:cs="宋体"/>
          <w:bCs w:val="0"/>
          <w:w w:val="80"/>
          <w:kern w:val="2"/>
          <w:sz w:val="36"/>
          <w:szCs w:val="36"/>
          <w:highlight w:val="none"/>
        </w:rPr>
        <w:t>第一章  招标公告</w:t>
      </w:r>
      <w:bookmarkEnd w:id="0"/>
    </w:p>
    <w:p>
      <w:pPr>
        <w:shd w:val="clear"/>
        <w:kinsoku w:val="0"/>
        <w:overflowPunct w:val="0"/>
        <w:autoSpaceDE w:val="0"/>
        <w:autoSpaceDN w:val="0"/>
        <w:spacing w:line="400" w:lineRule="exact"/>
        <w:ind w:left="-200" w:leftChars="-100" w:right="-200" w:rightChars="-100" w:firstLine="480" w:firstLineChars="200"/>
        <w:rPr>
          <w:rFonts w:ascii="宋体" w:hAnsi="宋体" w:cs="宋体"/>
          <w:bCs/>
          <w:sz w:val="24"/>
          <w:highlight w:val="none"/>
        </w:rPr>
      </w:pPr>
      <w:r>
        <w:rPr>
          <w:rFonts w:hint="eastAsia" w:ascii="宋体" w:hAnsi="宋体" w:cs="宋体"/>
          <w:bCs/>
          <w:sz w:val="24"/>
          <w:highlight w:val="none"/>
        </w:rPr>
        <w:t>江西省机电设备招标有限公司受招标人委托，就</w:t>
      </w:r>
      <w:r>
        <w:rPr>
          <w:rFonts w:hint="eastAsia" w:ascii="宋体" w:hAnsi="宋体" w:cs="宋体"/>
          <w:color w:val="000000"/>
          <w:sz w:val="24"/>
          <w:highlight w:val="none"/>
        </w:rPr>
        <w:t>石城县屏山镇琉璃坑矿区年产300万吨砂石骨料（建筑用砂岩矿）项目机电设备安装工程</w:t>
      </w:r>
      <w:r>
        <w:rPr>
          <w:rFonts w:hint="eastAsia" w:ascii="宋体" w:hAnsi="宋体" w:cs="宋体"/>
          <w:bCs/>
          <w:sz w:val="24"/>
          <w:highlight w:val="none"/>
        </w:rPr>
        <w:t>进行</w:t>
      </w:r>
      <w:r>
        <w:rPr>
          <w:rFonts w:hint="eastAsia" w:ascii="宋体" w:hAnsi="宋体" w:cs="宋体"/>
          <w:color w:val="000000"/>
          <w:sz w:val="24"/>
          <w:highlight w:val="none"/>
          <w:lang w:eastAsia="zh-CN"/>
        </w:rPr>
        <w:t>第三次</w:t>
      </w:r>
      <w:r>
        <w:rPr>
          <w:rFonts w:hint="eastAsia" w:ascii="宋体" w:hAnsi="宋体" w:cs="宋体"/>
          <w:bCs/>
          <w:sz w:val="24"/>
          <w:highlight w:val="none"/>
        </w:rPr>
        <w:t>国内公开招标，具体事项公告如下：</w:t>
      </w:r>
    </w:p>
    <w:p>
      <w:pPr>
        <w:pStyle w:val="61"/>
        <w:widowControl w:val="0"/>
        <w:numPr>
          <w:ilvl w:val="0"/>
          <w:numId w:val="5"/>
        </w:numPr>
        <w:shd w:val="clear"/>
        <w:spacing w:after="0" w:line="400" w:lineRule="exact"/>
        <w:ind w:left="-200" w:leftChars="-100" w:right="-200" w:rightChars="-100"/>
        <w:jc w:val="both"/>
        <w:rPr>
          <w:rFonts w:ascii="宋体" w:hAnsi="宋体" w:cs="宋体"/>
          <w:b/>
          <w:sz w:val="24"/>
          <w:highlight w:val="none"/>
        </w:rPr>
      </w:pPr>
      <w:r>
        <w:rPr>
          <w:rFonts w:hint="eastAsia" w:ascii="宋体" w:hAnsi="宋体" w:cs="宋体"/>
          <w:b/>
          <w:sz w:val="24"/>
          <w:highlight w:val="none"/>
        </w:rPr>
        <w:t>项目名称：</w:t>
      </w:r>
    </w:p>
    <w:p>
      <w:pPr>
        <w:shd w:val="clear"/>
        <w:spacing w:line="400" w:lineRule="exact"/>
        <w:ind w:right="-200" w:rightChars="-100" w:firstLine="240" w:firstLineChars="100"/>
        <w:rPr>
          <w:rFonts w:hint="eastAsia" w:ascii="宋体" w:hAnsi="宋体" w:cs="宋体"/>
          <w:bCs/>
          <w:sz w:val="24"/>
          <w:highlight w:val="none"/>
        </w:rPr>
      </w:pPr>
      <w:r>
        <w:rPr>
          <w:rFonts w:hint="eastAsia" w:ascii="宋体" w:hAnsi="宋体" w:cs="宋体"/>
          <w:color w:val="000000"/>
          <w:sz w:val="24"/>
          <w:highlight w:val="none"/>
        </w:rPr>
        <w:t>石城县屏山镇琉璃坑矿区年产300万吨砂石骨料（建筑用砂岩矿）项目机电设备安装工程</w:t>
      </w:r>
      <w:r>
        <w:rPr>
          <w:rFonts w:hint="eastAsia" w:ascii="宋体" w:hAnsi="宋体" w:cs="宋体"/>
          <w:color w:val="000000"/>
          <w:sz w:val="24"/>
          <w:highlight w:val="none"/>
          <w:lang w:eastAsia="zh-CN"/>
        </w:rPr>
        <w:t>（</w:t>
      </w:r>
      <w:r>
        <w:rPr>
          <w:rFonts w:hint="eastAsia" w:ascii="宋体" w:hAnsi="宋体" w:cs="宋体"/>
          <w:color w:val="000000"/>
          <w:sz w:val="24"/>
          <w:highlight w:val="none"/>
          <w:lang w:val="en-US" w:eastAsia="zh-CN"/>
        </w:rPr>
        <w:t>第三次</w:t>
      </w:r>
      <w:r>
        <w:rPr>
          <w:rFonts w:hint="eastAsia" w:ascii="宋体" w:hAnsi="宋体" w:cs="宋体"/>
          <w:color w:val="000000"/>
          <w:sz w:val="24"/>
          <w:highlight w:val="none"/>
          <w:lang w:eastAsia="zh-CN"/>
        </w:rPr>
        <w:t>）</w:t>
      </w:r>
      <w:r>
        <w:rPr>
          <w:rFonts w:hint="eastAsia" w:ascii="宋体" w:hAnsi="宋体" w:cs="宋体"/>
          <w:bCs/>
          <w:sz w:val="24"/>
          <w:highlight w:val="none"/>
        </w:rPr>
        <w:t>（</w:t>
      </w:r>
      <w:r>
        <w:rPr>
          <w:rFonts w:hint="eastAsia" w:ascii="宋体" w:hAnsi="宋体" w:cs="宋体"/>
          <w:bCs/>
          <w:sz w:val="24"/>
          <w:highlight w:val="none"/>
          <w:lang w:eastAsia="zh-CN"/>
        </w:rPr>
        <w:t>JXTC2020020331C2</w:t>
      </w:r>
      <w:r>
        <w:rPr>
          <w:rFonts w:hint="eastAsia" w:ascii="宋体" w:hAnsi="宋体" w:cs="宋体"/>
          <w:bCs/>
          <w:sz w:val="24"/>
          <w:highlight w:val="none"/>
        </w:rPr>
        <w:t>）</w:t>
      </w:r>
    </w:p>
    <w:p>
      <w:pPr>
        <w:shd w:val="clear"/>
        <w:spacing w:line="400" w:lineRule="exact"/>
        <w:ind w:left="0" w:leftChars="-100" w:right="-200" w:rightChars="-100" w:hanging="200" w:hangingChars="83"/>
        <w:rPr>
          <w:rFonts w:ascii="宋体" w:hAnsi="宋体" w:cs="宋体"/>
          <w:b/>
          <w:sz w:val="24"/>
          <w:highlight w:val="none"/>
        </w:rPr>
      </w:pPr>
      <w:r>
        <w:rPr>
          <w:rFonts w:hint="eastAsia" w:ascii="宋体" w:hAnsi="宋体" w:eastAsia="宋体" w:cs="宋体"/>
          <w:b/>
          <w:sz w:val="24"/>
          <w:szCs w:val="22"/>
          <w:highlight w:val="none"/>
          <w:lang w:val="en-US" w:eastAsia="en-US" w:bidi="en-US"/>
        </w:rPr>
        <w:t>二、项目概况：</w:t>
      </w:r>
      <w:r>
        <w:rPr>
          <w:rFonts w:hint="eastAsia" w:ascii="宋体" w:hAnsi="宋体" w:cs="宋体"/>
          <w:b/>
          <w:sz w:val="24"/>
          <w:highlight w:val="none"/>
        </w:rPr>
        <w:t xml:space="preserve"> </w:t>
      </w:r>
    </w:p>
    <w:p>
      <w:pPr>
        <w:shd w:val="clear"/>
        <w:spacing w:line="400" w:lineRule="exact"/>
        <w:ind w:left="-200" w:leftChars="-100" w:right="-200" w:rightChars="-100"/>
        <w:rPr>
          <w:rFonts w:ascii="宋体" w:hAnsi="宋体" w:cs="宋体"/>
          <w:sz w:val="24"/>
          <w:highlight w:val="none"/>
        </w:rPr>
      </w:pPr>
      <w:r>
        <w:rPr>
          <w:rFonts w:hint="eastAsia" w:ascii="宋体" w:hAnsi="宋体" w:cs="宋体"/>
          <w:sz w:val="24"/>
          <w:highlight w:val="none"/>
        </w:rPr>
        <w:t>1、项目地点：石城县屏山镇新富村琉璃坑。</w:t>
      </w:r>
    </w:p>
    <w:p>
      <w:pPr>
        <w:shd w:val="clear"/>
        <w:spacing w:line="400" w:lineRule="exact"/>
        <w:ind w:left="-200" w:leftChars="-100" w:right="-200" w:rightChars="-100"/>
        <w:rPr>
          <w:rFonts w:ascii="宋体" w:hAnsi="宋体" w:cs="宋体"/>
          <w:sz w:val="24"/>
          <w:highlight w:val="none"/>
        </w:rPr>
      </w:pPr>
      <w:r>
        <w:rPr>
          <w:rFonts w:hint="eastAsia" w:ascii="宋体" w:hAnsi="宋体" w:cs="宋体"/>
          <w:sz w:val="24"/>
          <w:highlight w:val="none"/>
        </w:rPr>
        <w:t>2、资金来源：企业自筹</w:t>
      </w:r>
    </w:p>
    <w:p>
      <w:pPr>
        <w:shd w:val="clear"/>
        <w:spacing w:line="400" w:lineRule="exact"/>
        <w:ind w:left="-200" w:leftChars="-100" w:right="-200" w:rightChars="-100"/>
        <w:rPr>
          <w:rFonts w:ascii="宋体" w:hAnsi="宋体" w:cs="宋体"/>
          <w:b/>
          <w:sz w:val="24"/>
          <w:highlight w:val="none"/>
        </w:rPr>
      </w:pPr>
      <w:r>
        <w:rPr>
          <w:rFonts w:hint="eastAsia" w:ascii="宋体" w:hAnsi="宋体" w:cs="宋体"/>
          <w:b/>
          <w:sz w:val="24"/>
          <w:highlight w:val="none"/>
        </w:rPr>
        <w:t xml:space="preserve">三、招标范围： </w:t>
      </w:r>
      <w:r>
        <w:rPr>
          <w:rFonts w:hint="eastAsia" w:ascii="宋体" w:hAnsi="宋体" w:cs="宋体"/>
          <w:b/>
          <w:sz w:val="24"/>
          <w:highlight w:val="none"/>
        </w:rPr>
        <w:tab/>
      </w:r>
    </w:p>
    <w:p>
      <w:pPr>
        <w:shd w:val="clear"/>
        <w:tabs>
          <w:tab w:val="left" w:pos="900"/>
        </w:tabs>
        <w:spacing w:line="480" w:lineRule="exact"/>
        <w:rPr>
          <w:rFonts w:ascii="宋体" w:hAnsi="宋体" w:cs="宋体"/>
          <w:bCs/>
          <w:sz w:val="24"/>
          <w:highlight w:val="none"/>
        </w:rPr>
      </w:pPr>
      <w:r>
        <w:rPr>
          <w:rFonts w:hint="eastAsia" w:ascii="宋体" w:hAnsi="宋体" w:cs="宋体"/>
          <w:bCs/>
          <w:sz w:val="24"/>
          <w:highlight w:val="none"/>
        </w:rPr>
        <w:t>本次招标设一个标段，主要内容包括：</w:t>
      </w:r>
    </w:p>
    <w:p>
      <w:pPr>
        <w:numPr>
          <w:ilvl w:val="0"/>
          <w:numId w:val="6"/>
        </w:numPr>
        <w:shd w:val="clear"/>
        <w:tabs>
          <w:tab w:val="left" w:pos="900"/>
        </w:tabs>
        <w:spacing w:line="480" w:lineRule="exact"/>
        <w:ind w:firstLine="480" w:firstLineChars="200"/>
        <w:rPr>
          <w:rFonts w:ascii="宋体" w:hAnsi="宋体" w:cs="宋体"/>
          <w:bCs/>
          <w:sz w:val="24"/>
          <w:highlight w:val="none"/>
        </w:rPr>
      </w:pPr>
      <w:r>
        <w:rPr>
          <w:rFonts w:hint="eastAsia" w:ascii="宋体" w:hAnsi="宋体" w:cs="宋体"/>
          <w:bCs/>
          <w:sz w:val="24"/>
          <w:highlight w:val="none"/>
        </w:rPr>
        <w:t>工艺及动力设备安装：从粗碎受料仓至骨料储存散装系统整条生产线所有</w:t>
      </w:r>
      <w:r>
        <w:rPr>
          <w:rFonts w:hint="eastAsia" w:ascii="宋体" w:hAnsi="宋体" w:cs="宋体"/>
          <w:sz w:val="24"/>
          <w:szCs w:val="22"/>
          <w:highlight w:val="none"/>
        </w:rPr>
        <w:t>工艺设备及动力设备</w:t>
      </w:r>
      <w:r>
        <w:rPr>
          <w:rFonts w:hint="eastAsia" w:ascii="宋体" w:hAnsi="宋体" w:cs="宋体"/>
          <w:bCs/>
          <w:sz w:val="24"/>
          <w:highlight w:val="none"/>
        </w:rPr>
        <w:t>的安装和调试（主要破碎设备由招标人另行采购，中标人负责安装调试；甲供设备详清单说明）；</w:t>
      </w:r>
    </w:p>
    <w:p>
      <w:pPr>
        <w:numPr>
          <w:ilvl w:val="0"/>
          <w:numId w:val="6"/>
        </w:numPr>
        <w:shd w:val="clear"/>
        <w:tabs>
          <w:tab w:val="left" w:pos="900"/>
        </w:tabs>
        <w:spacing w:line="480" w:lineRule="exact"/>
        <w:ind w:firstLine="480" w:firstLineChars="200"/>
        <w:rPr>
          <w:rFonts w:ascii="宋体" w:hAnsi="宋体" w:cs="宋体"/>
          <w:bCs/>
          <w:sz w:val="24"/>
          <w:highlight w:val="none"/>
        </w:rPr>
      </w:pPr>
      <w:r>
        <w:rPr>
          <w:rFonts w:hint="eastAsia" w:ascii="宋体" w:hAnsi="宋体" w:cs="宋体"/>
          <w:bCs/>
          <w:sz w:val="24"/>
          <w:highlight w:val="none"/>
        </w:rPr>
        <w:t>除尘设备（含空压机）的安装和调试（含管道采购、制作、安装，不含除尘设备采购）；</w:t>
      </w:r>
    </w:p>
    <w:p>
      <w:pPr>
        <w:numPr>
          <w:ilvl w:val="0"/>
          <w:numId w:val="6"/>
        </w:numPr>
        <w:shd w:val="clear"/>
        <w:tabs>
          <w:tab w:val="left" w:pos="900"/>
        </w:tabs>
        <w:spacing w:line="480" w:lineRule="exact"/>
        <w:ind w:firstLine="480" w:firstLineChars="200"/>
        <w:rPr>
          <w:rFonts w:ascii="宋体" w:hAnsi="宋体" w:cs="宋体"/>
          <w:bCs/>
          <w:sz w:val="24"/>
          <w:highlight w:val="none"/>
        </w:rPr>
      </w:pPr>
      <w:r>
        <w:rPr>
          <w:rFonts w:hint="eastAsia" w:ascii="宋体" w:hAnsi="宋体" w:cs="宋体"/>
          <w:bCs/>
          <w:sz w:val="24"/>
          <w:highlight w:val="none"/>
        </w:rPr>
        <w:t>电气及自动控制设备：低压配电及动力柜（与自动化控制连为一体）和无功补偿柜的深化设计、供货、安装和调试。招标人保留根据设计单位后期提出的设计要求调整的权利。</w:t>
      </w:r>
    </w:p>
    <w:p>
      <w:pPr>
        <w:numPr>
          <w:ilvl w:val="0"/>
          <w:numId w:val="6"/>
        </w:numPr>
        <w:shd w:val="clear"/>
        <w:tabs>
          <w:tab w:val="left" w:pos="900"/>
        </w:tabs>
        <w:spacing w:line="480" w:lineRule="exact"/>
        <w:ind w:firstLine="480" w:firstLineChars="200"/>
        <w:rPr>
          <w:rFonts w:ascii="宋体" w:hAnsi="宋体" w:cs="宋体"/>
          <w:b/>
          <w:sz w:val="24"/>
          <w:highlight w:val="none"/>
        </w:rPr>
      </w:pPr>
      <w:r>
        <w:rPr>
          <w:rFonts w:hint="eastAsia" w:ascii="宋体" w:hAnsi="宋体" w:cs="宋体"/>
          <w:bCs/>
          <w:sz w:val="24"/>
          <w:highlight w:val="none"/>
        </w:rPr>
        <w:t>生产智能管理系统：整个智能控制系统（含生产管理、自动售料、数字监控系统等）整套设备深化设计、供货、安装和调试。主要包括但不限于：系统所需服务器、电脑、打印机、控制程序、系统安装和连接所需要的光纤、控制电缆、显示屏和操作台、操作工具、储存器和网络所需的辅助设备，提供试运行阶段（三个月）的技术人员驻厂服务；</w:t>
      </w:r>
      <w:r>
        <w:rPr>
          <w:rFonts w:hint="eastAsia" w:ascii="宋体" w:hAnsi="宋体" w:cs="宋体"/>
          <w:b/>
          <w:sz w:val="24"/>
          <w:highlight w:val="none"/>
        </w:rPr>
        <w:t>所提供的硬件和软件涉及的知识产权纠纷由投标人负责，招标人免责。</w:t>
      </w:r>
    </w:p>
    <w:p>
      <w:pPr>
        <w:numPr>
          <w:ilvl w:val="0"/>
          <w:numId w:val="6"/>
        </w:numPr>
        <w:shd w:val="clear"/>
        <w:tabs>
          <w:tab w:val="left" w:pos="900"/>
        </w:tabs>
        <w:spacing w:line="480" w:lineRule="exact"/>
        <w:ind w:firstLine="480" w:firstLineChars="200"/>
        <w:rPr>
          <w:rFonts w:ascii="宋体" w:hAnsi="宋体" w:cs="宋体"/>
          <w:bCs/>
          <w:sz w:val="24"/>
          <w:szCs w:val="22"/>
          <w:highlight w:val="none"/>
        </w:rPr>
      </w:pPr>
      <w:r>
        <w:rPr>
          <w:rFonts w:hint="eastAsia" w:ascii="宋体" w:hAnsi="宋体" w:cs="宋体"/>
          <w:bCs/>
          <w:sz w:val="24"/>
          <w:szCs w:val="22"/>
          <w:highlight w:val="none"/>
        </w:rPr>
        <w:t>电缆敷设：生产线各电气设备、控制设备、机电设备之间的电力电缆敷设连接（电缆接头材料费用包含在施工单价里，电力电缆甲供）施工；</w:t>
      </w:r>
    </w:p>
    <w:p>
      <w:pPr>
        <w:numPr>
          <w:ilvl w:val="0"/>
          <w:numId w:val="6"/>
        </w:numPr>
        <w:shd w:val="clear"/>
        <w:tabs>
          <w:tab w:val="left" w:pos="900"/>
        </w:tabs>
        <w:spacing w:line="480" w:lineRule="exact"/>
        <w:ind w:firstLine="480" w:firstLineChars="200"/>
        <w:rPr>
          <w:rFonts w:ascii="宋体" w:hAnsi="宋体" w:cs="宋体"/>
          <w:bCs/>
          <w:sz w:val="24"/>
          <w:highlight w:val="none"/>
        </w:rPr>
      </w:pPr>
      <w:r>
        <w:rPr>
          <w:rFonts w:hint="eastAsia" w:ascii="宋体" w:hAnsi="宋体" w:cs="宋体"/>
          <w:bCs/>
          <w:sz w:val="24"/>
          <w:highlight w:val="none"/>
        </w:rPr>
        <w:t>照明：包含厂区道路照明、厂区室外照明、生产线作业面照明、生产线各廊道内照明供货、安装及调试；</w:t>
      </w:r>
    </w:p>
    <w:p>
      <w:pPr>
        <w:numPr>
          <w:ilvl w:val="0"/>
          <w:numId w:val="6"/>
        </w:numPr>
        <w:shd w:val="clear"/>
        <w:tabs>
          <w:tab w:val="left" w:pos="900"/>
        </w:tabs>
        <w:spacing w:line="480" w:lineRule="exact"/>
        <w:ind w:firstLine="480" w:firstLineChars="200"/>
        <w:rPr>
          <w:rFonts w:ascii="宋体" w:hAnsi="宋体" w:cs="宋体"/>
          <w:bCs/>
          <w:sz w:val="24"/>
          <w:szCs w:val="22"/>
          <w:highlight w:val="none"/>
        </w:rPr>
      </w:pPr>
      <w:r>
        <w:rPr>
          <w:rFonts w:hint="eastAsia" w:ascii="宋体" w:hAnsi="宋体" w:cs="宋体"/>
          <w:bCs/>
          <w:sz w:val="24"/>
          <w:szCs w:val="22"/>
          <w:highlight w:val="none"/>
        </w:rPr>
        <w:t>防雷接地：生产线及供电系统防雷接地工程的供货、安装及调试；</w:t>
      </w:r>
    </w:p>
    <w:p>
      <w:pPr>
        <w:numPr>
          <w:ilvl w:val="0"/>
          <w:numId w:val="6"/>
        </w:numPr>
        <w:shd w:val="clear"/>
        <w:tabs>
          <w:tab w:val="left" w:pos="900"/>
        </w:tabs>
        <w:spacing w:line="480" w:lineRule="exact"/>
        <w:ind w:firstLine="480" w:firstLineChars="200"/>
        <w:rPr>
          <w:rFonts w:ascii="宋体" w:hAnsi="宋体" w:cs="宋体"/>
          <w:bCs/>
          <w:sz w:val="24"/>
          <w:highlight w:val="none"/>
        </w:rPr>
      </w:pPr>
      <w:r>
        <w:rPr>
          <w:rFonts w:hint="eastAsia" w:ascii="宋体" w:hAnsi="宋体" w:cs="宋体"/>
          <w:bCs/>
          <w:sz w:val="24"/>
          <w:highlight w:val="none"/>
        </w:rPr>
        <w:t>带式输送系统的安装和调试（含橡胶带和硫化接头安装），</w:t>
      </w:r>
      <w:r>
        <w:rPr>
          <w:rFonts w:hint="eastAsia" w:ascii="宋体" w:hAnsi="宋体" w:cs="宋体"/>
          <w:b/>
          <w:sz w:val="24"/>
          <w:highlight w:val="none"/>
        </w:rPr>
        <w:t>输送机和橡胶输送带甲供</w:t>
      </w:r>
      <w:r>
        <w:rPr>
          <w:rFonts w:hint="eastAsia" w:ascii="宋体" w:hAnsi="宋体" w:cs="宋体"/>
          <w:bCs/>
          <w:sz w:val="24"/>
          <w:highlight w:val="none"/>
        </w:rPr>
        <w:t>；</w:t>
      </w:r>
    </w:p>
    <w:p>
      <w:pPr>
        <w:numPr>
          <w:ilvl w:val="0"/>
          <w:numId w:val="6"/>
        </w:numPr>
        <w:shd w:val="clear"/>
        <w:tabs>
          <w:tab w:val="left" w:pos="900"/>
        </w:tabs>
        <w:spacing w:line="480" w:lineRule="exact"/>
        <w:ind w:firstLine="480" w:firstLineChars="200"/>
        <w:rPr>
          <w:highlight w:val="none"/>
        </w:rPr>
      </w:pPr>
      <w:r>
        <w:rPr>
          <w:rFonts w:hint="eastAsia" w:ascii="宋体" w:hAnsi="宋体" w:cs="宋体"/>
          <w:bCs/>
          <w:sz w:val="24"/>
          <w:highlight w:val="none"/>
        </w:rPr>
        <w:t>钢结构制作安装：生产线钢架及支架的制作安装，皮带输送系统落地支架的制作和安装，整个生产线其他非标准件和标准件钢结构的制作和安装，钢结构的除锈和油漆的施工，包含所有所需材料采购；</w:t>
      </w:r>
    </w:p>
    <w:p>
      <w:pPr>
        <w:numPr>
          <w:ilvl w:val="0"/>
          <w:numId w:val="6"/>
        </w:numPr>
        <w:shd w:val="clear"/>
        <w:tabs>
          <w:tab w:val="left" w:pos="900"/>
        </w:tabs>
        <w:spacing w:line="480" w:lineRule="exact"/>
        <w:ind w:firstLine="480" w:firstLineChars="200"/>
        <w:rPr>
          <w:rFonts w:ascii="宋体" w:hAnsi="宋体" w:cs="宋体"/>
          <w:b/>
          <w:sz w:val="24"/>
          <w:highlight w:val="none"/>
        </w:rPr>
      </w:pPr>
      <w:r>
        <w:rPr>
          <w:rFonts w:hint="eastAsia" w:ascii="宋体" w:hAnsi="宋体" w:cs="宋体"/>
          <w:bCs/>
          <w:sz w:val="24"/>
          <w:highlight w:val="none"/>
        </w:rPr>
        <w:t>生产线调试：各设备的单机调试和生产线的联动调试，同时通过调试后组织带负荷试运行并最终达到生产效果、满足相关产能、质量和环保及安全要求</w:t>
      </w:r>
      <w:r>
        <w:rPr>
          <w:rFonts w:hint="eastAsia" w:ascii="宋体" w:hAnsi="宋体" w:cs="宋体"/>
          <w:b/>
          <w:sz w:val="24"/>
          <w:highlight w:val="none"/>
        </w:rPr>
        <w:t>。</w:t>
      </w:r>
    </w:p>
    <w:p>
      <w:pPr>
        <w:numPr>
          <w:ilvl w:val="0"/>
          <w:numId w:val="6"/>
        </w:numPr>
        <w:shd w:val="clear"/>
        <w:tabs>
          <w:tab w:val="left" w:pos="900"/>
        </w:tabs>
        <w:spacing w:line="480" w:lineRule="exact"/>
        <w:ind w:firstLine="480" w:firstLineChars="200"/>
        <w:rPr>
          <w:rFonts w:ascii="宋体" w:hAnsi="宋体" w:cs="宋体"/>
          <w:bCs/>
          <w:sz w:val="24"/>
          <w:szCs w:val="22"/>
          <w:highlight w:val="none"/>
        </w:rPr>
      </w:pPr>
      <w:r>
        <w:rPr>
          <w:rFonts w:hint="eastAsia" w:ascii="宋体" w:hAnsi="宋体" w:cs="宋体"/>
          <w:bCs/>
          <w:sz w:val="24"/>
          <w:szCs w:val="22"/>
          <w:highlight w:val="none"/>
        </w:rPr>
        <w:t>第①-④项需提供随机备品备件、专用工具、技术资料、技术培训等。</w:t>
      </w:r>
    </w:p>
    <w:p>
      <w:pPr>
        <w:numPr>
          <w:ilvl w:val="0"/>
          <w:numId w:val="7"/>
        </w:numPr>
        <w:shd w:val="clear"/>
        <w:spacing w:line="400" w:lineRule="exact"/>
        <w:ind w:left="-200" w:leftChars="-100" w:right="-200" w:rightChars="-100"/>
        <w:rPr>
          <w:rFonts w:ascii="宋体" w:hAnsi="宋体" w:cs="宋体"/>
          <w:b/>
          <w:sz w:val="24"/>
          <w:highlight w:val="none"/>
        </w:rPr>
      </w:pPr>
      <w:r>
        <w:rPr>
          <w:rFonts w:hint="eastAsia" w:ascii="宋体" w:hAnsi="宋体" w:cs="宋体"/>
          <w:b/>
          <w:sz w:val="24"/>
          <w:highlight w:val="none"/>
        </w:rPr>
        <w:t>投标人的资格要求：</w:t>
      </w:r>
    </w:p>
    <w:p>
      <w:pPr>
        <w:shd w:val="clear"/>
        <w:spacing w:line="360" w:lineRule="auto"/>
        <w:jc w:val="left"/>
        <w:rPr>
          <w:rFonts w:ascii="宋体" w:hAnsi="宋体"/>
          <w:sz w:val="24"/>
          <w:szCs w:val="18"/>
          <w:highlight w:val="none"/>
        </w:rPr>
      </w:pPr>
      <w:r>
        <w:rPr>
          <w:rFonts w:hint="eastAsia" w:ascii="宋体" w:hAnsi="宋体"/>
          <w:sz w:val="24"/>
          <w:szCs w:val="18"/>
          <w:highlight w:val="none"/>
        </w:rPr>
        <w:t>1.在中华人民共和国境内依法注册的具有独立法人资格及相应的经营范围的企业；</w:t>
      </w:r>
    </w:p>
    <w:p>
      <w:pPr>
        <w:shd w:val="clear"/>
        <w:spacing w:line="360" w:lineRule="auto"/>
        <w:jc w:val="left"/>
        <w:rPr>
          <w:rFonts w:ascii="宋体" w:hAnsi="宋体"/>
          <w:sz w:val="24"/>
          <w:szCs w:val="18"/>
          <w:highlight w:val="none"/>
        </w:rPr>
      </w:pPr>
      <w:r>
        <w:rPr>
          <w:rFonts w:hint="eastAsia" w:ascii="宋体" w:hAnsi="宋体"/>
          <w:sz w:val="24"/>
          <w:szCs w:val="18"/>
          <w:highlight w:val="none"/>
        </w:rPr>
        <w:t>2.投标人应具有以下资质：具有机电工程施工总承包三级及以上资质、冶金工程施工总承包一级及以上资质、矿山工程施工总承包一级及以上资质的其中一种。</w:t>
      </w:r>
    </w:p>
    <w:p>
      <w:pPr>
        <w:shd w:val="clear"/>
        <w:spacing w:line="360" w:lineRule="auto"/>
        <w:jc w:val="left"/>
        <w:rPr>
          <w:rFonts w:ascii="宋体" w:hAnsi="宋体"/>
          <w:sz w:val="24"/>
          <w:szCs w:val="18"/>
          <w:highlight w:val="none"/>
        </w:rPr>
      </w:pPr>
      <w:r>
        <w:rPr>
          <w:rFonts w:hint="eastAsia" w:ascii="宋体" w:hAnsi="宋体"/>
          <w:sz w:val="24"/>
          <w:szCs w:val="18"/>
          <w:highlight w:val="none"/>
        </w:rPr>
        <w:t>3.投标人2015年1月1日以来具有年生产能力200万吨（或时产600吨）及以上矿石加工生产线主体工程主要机电设备及电气设备安装业绩；</w:t>
      </w:r>
    </w:p>
    <w:p>
      <w:pPr>
        <w:shd w:val="clear"/>
        <w:spacing w:line="360" w:lineRule="auto"/>
        <w:jc w:val="left"/>
        <w:rPr>
          <w:rFonts w:ascii="宋体" w:hAnsi="宋体"/>
          <w:sz w:val="24"/>
          <w:szCs w:val="18"/>
          <w:highlight w:val="none"/>
        </w:rPr>
      </w:pPr>
      <w:r>
        <w:rPr>
          <w:rFonts w:hint="eastAsia" w:ascii="宋体" w:hAnsi="宋体"/>
          <w:sz w:val="24"/>
          <w:szCs w:val="18"/>
          <w:highlight w:val="none"/>
        </w:rPr>
        <w:t>4.投标人须具有砂石骨料行业自动化控制方面相应的经验和业绩，需提供自动化控制系统在砂石骨料项目运用的不少于三份业绩证明材料（最近五年内合同）。</w:t>
      </w:r>
    </w:p>
    <w:p>
      <w:pPr>
        <w:shd w:val="clear"/>
        <w:spacing w:line="360" w:lineRule="auto"/>
        <w:ind w:left="-200" w:leftChars="-100" w:right="-200" w:rightChars="-100" w:firstLine="240" w:firstLineChars="100"/>
        <w:rPr>
          <w:rFonts w:ascii="宋体" w:hAnsi="宋体"/>
          <w:sz w:val="24"/>
          <w:szCs w:val="18"/>
          <w:highlight w:val="none"/>
        </w:rPr>
      </w:pPr>
      <w:r>
        <w:rPr>
          <w:rFonts w:hint="eastAsia" w:ascii="宋体" w:hAnsi="宋体"/>
          <w:sz w:val="24"/>
          <w:szCs w:val="18"/>
          <w:highlight w:val="none"/>
        </w:rPr>
        <w:t>5.本项目采取资格后审，本项目接受联合体投标，成员单位不超过两家。如联合体投标，具有安装资质的一方作为牵头单位。</w:t>
      </w:r>
    </w:p>
    <w:p>
      <w:pPr>
        <w:shd w:val="clear"/>
        <w:spacing w:line="360" w:lineRule="auto"/>
        <w:ind w:left="-200" w:leftChars="-100" w:right="-200" w:rightChars="-100"/>
        <w:rPr>
          <w:rFonts w:ascii="宋体" w:hAnsi="宋体" w:cs="宋体"/>
          <w:b/>
          <w:sz w:val="24"/>
          <w:szCs w:val="24"/>
          <w:highlight w:val="none"/>
        </w:rPr>
      </w:pPr>
      <w:bookmarkStart w:id="1" w:name="_Toc472856359"/>
      <w:bookmarkStart w:id="2" w:name="_Toc421111539"/>
      <w:bookmarkStart w:id="3" w:name="_Toc12458"/>
      <w:bookmarkStart w:id="4" w:name="_Toc421473393"/>
      <w:bookmarkStart w:id="5" w:name="_Toc472856193"/>
      <w:bookmarkStart w:id="6" w:name="_Toc9419"/>
      <w:bookmarkStart w:id="7" w:name="_Toc416939066"/>
      <w:r>
        <w:rPr>
          <w:rFonts w:hint="eastAsia" w:ascii="宋体" w:hAnsi="宋体" w:cs="宋体"/>
          <w:b/>
          <w:sz w:val="24"/>
          <w:szCs w:val="24"/>
          <w:highlight w:val="none"/>
        </w:rPr>
        <w:t>五、本次招标控制价：1427万元。</w:t>
      </w:r>
    </w:p>
    <w:p>
      <w:pPr>
        <w:shd w:val="clear"/>
        <w:spacing w:line="360" w:lineRule="auto"/>
        <w:ind w:left="-200" w:leftChars="-100" w:right="-200" w:rightChars="-100"/>
        <w:rPr>
          <w:rFonts w:ascii="宋体" w:hAnsi="宋体" w:cs="宋体"/>
          <w:b/>
          <w:sz w:val="24"/>
          <w:szCs w:val="24"/>
          <w:highlight w:val="none"/>
        </w:rPr>
      </w:pPr>
      <w:r>
        <w:rPr>
          <w:rFonts w:hint="eastAsia" w:ascii="宋体" w:hAnsi="宋体" w:cs="宋体"/>
          <w:b/>
          <w:sz w:val="24"/>
          <w:szCs w:val="24"/>
          <w:highlight w:val="none"/>
        </w:rPr>
        <w:t>六、获取招标文件时间及方式：</w:t>
      </w:r>
    </w:p>
    <w:p>
      <w:pPr>
        <w:shd w:val="clear"/>
        <w:spacing w:line="360" w:lineRule="auto"/>
        <w:rPr>
          <w:rFonts w:ascii="宋体" w:hAnsi="宋体" w:cs="宋体"/>
          <w:bCs/>
          <w:sz w:val="24"/>
          <w:highlight w:val="none"/>
        </w:rPr>
      </w:pPr>
      <w:r>
        <w:rPr>
          <w:rFonts w:hint="eastAsia" w:ascii="宋体" w:hAnsi="宋体" w:cs="宋体"/>
          <w:bCs/>
          <w:sz w:val="24"/>
          <w:highlight w:val="none"/>
        </w:rPr>
        <w:t>1、招标公告发布时间：2020年1</w:t>
      </w:r>
      <w:r>
        <w:rPr>
          <w:rFonts w:hint="eastAsia" w:ascii="宋体" w:hAnsi="宋体" w:cs="宋体"/>
          <w:bCs/>
          <w:sz w:val="24"/>
          <w:highlight w:val="none"/>
          <w:lang w:val="en-US" w:eastAsia="zh-CN"/>
        </w:rPr>
        <w:t>1</w:t>
      </w:r>
      <w:r>
        <w:rPr>
          <w:rFonts w:hint="eastAsia" w:ascii="宋体" w:hAnsi="宋体" w:cs="宋体"/>
          <w:bCs/>
          <w:sz w:val="24"/>
          <w:highlight w:val="none"/>
        </w:rPr>
        <w:t>月</w:t>
      </w:r>
      <w:r>
        <w:rPr>
          <w:rFonts w:hint="eastAsia" w:ascii="宋体" w:hAnsi="宋体" w:cs="宋体"/>
          <w:bCs/>
          <w:color w:val="0000FF"/>
          <w:sz w:val="24"/>
          <w:highlight w:val="none"/>
          <w:lang w:val="en-US" w:eastAsia="zh-CN"/>
        </w:rPr>
        <w:t>18</w:t>
      </w:r>
      <w:r>
        <w:rPr>
          <w:rFonts w:hint="eastAsia" w:ascii="宋体" w:hAnsi="宋体" w:cs="宋体"/>
          <w:bCs/>
          <w:sz w:val="24"/>
          <w:highlight w:val="none"/>
        </w:rPr>
        <w:t>日；</w:t>
      </w:r>
    </w:p>
    <w:p>
      <w:pPr>
        <w:shd w:val="clear"/>
        <w:spacing w:line="360" w:lineRule="auto"/>
        <w:rPr>
          <w:rFonts w:ascii="宋体" w:hAnsi="宋体" w:cs="宋体"/>
          <w:bCs/>
          <w:sz w:val="24"/>
          <w:highlight w:val="none"/>
        </w:rPr>
      </w:pPr>
      <w:r>
        <w:rPr>
          <w:rFonts w:hint="eastAsia" w:ascii="宋体" w:hAnsi="宋体" w:cs="宋体"/>
          <w:bCs/>
          <w:sz w:val="24"/>
          <w:highlight w:val="none"/>
        </w:rPr>
        <w:t>2、凡有意参加本项目投标单位，请于</w:t>
      </w:r>
      <w:r>
        <w:rPr>
          <w:rFonts w:hint="eastAsia" w:ascii="宋体" w:hAnsi="宋体" w:cs="宋体"/>
          <w:bCs/>
          <w:color w:val="0000FF"/>
          <w:sz w:val="24"/>
          <w:highlight w:val="none"/>
        </w:rPr>
        <w:t>2020年1</w:t>
      </w:r>
      <w:r>
        <w:rPr>
          <w:rFonts w:hint="eastAsia" w:ascii="宋体" w:hAnsi="宋体" w:cs="宋体"/>
          <w:bCs/>
          <w:color w:val="0000FF"/>
          <w:sz w:val="24"/>
          <w:highlight w:val="none"/>
          <w:lang w:val="en-US" w:eastAsia="zh-CN"/>
        </w:rPr>
        <w:t>1</w:t>
      </w:r>
      <w:r>
        <w:rPr>
          <w:rFonts w:hint="eastAsia" w:ascii="宋体" w:hAnsi="宋体" w:cs="宋体"/>
          <w:bCs/>
          <w:color w:val="0000FF"/>
          <w:sz w:val="24"/>
          <w:highlight w:val="none"/>
        </w:rPr>
        <w:t>月</w:t>
      </w:r>
      <w:r>
        <w:rPr>
          <w:rFonts w:hint="eastAsia" w:ascii="宋体" w:hAnsi="宋体" w:cs="宋体"/>
          <w:bCs/>
          <w:color w:val="0000FF"/>
          <w:sz w:val="24"/>
          <w:highlight w:val="none"/>
          <w:lang w:val="en-US" w:eastAsia="zh-CN"/>
        </w:rPr>
        <w:t>18</w:t>
      </w:r>
      <w:r>
        <w:rPr>
          <w:rFonts w:hint="eastAsia" w:ascii="宋体" w:hAnsi="宋体" w:cs="宋体"/>
          <w:bCs/>
          <w:color w:val="0000FF"/>
          <w:sz w:val="24"/>
          <w:highlight w:val="none"/>
        </w:rPr>
        <w:t>日至2020年1</w:t>
      </w:r>
      <w:r>
        <w:rPr>
          <w:rFonts w:hint="eastAsia" w:ascii="宋体" w:hAnsi="宋体" w:cs="宋体"/>
          <w:bCs/>
          <w:color w:val="0000FF"/>
          <w:sz w:val="24"/>
          <w:highlight w:val="none"/>
          <w:lang w:val="en-US" w:eastAsia="zh-CN"/>
        </w:rPr>
        <w:t>2</w:t>
      </w:r>
      <w:r>
        <w:rPr>
          <w:rFonts w:hint="eastAsia" w:ascii="宋体" w:hAnsi="宋体" w:cs="宋体"/>
          <w:bCs/>
          <w:color w:val="0000FF"/>
          <w:sz w:val="24"/>
          <w:highlight w:val="none"/>
        </w:rPr>
        <w:t>月</w:t>
      </w:r>
      <w:r>
        <w:rPr>
          <w:rFonts w:hint="eastAsia" w:ascii="宋体" w:hAnsi="宋体" w:cs="宋体"/>
          <w:bCs/>
          <w:color w:val="0000FF"/>
          <w:sz w:val="24"/>
          <w:highlight w:val="none"/>
          <w:lang w:val="en-US" w:eastAsia="zh-CN"/>
        </w:rPr>
        <w:t>2</w:t>
      </w:r>
      <w:r>
        <w:rPr>
          <w:rFonts w:hint="eastAsia" w:ascii="宋体" w:hAnsi="宋体" w:cs="宋体"/>
          <w:bCs/>
          <w:color w:val="0000FF"/>
          <w:sz w:val="24"/>
          <w:highlight w:val="none"/>
        </w:rPr>
        <w:t>日</w:t>
      </w:r>
      <w:r>
        <w:rPr>
          <w:rFonts w:hint="eastAsia" w:ascii="宋体" w:hAnsi="宋体" w:cs="宋体"/>
          <w:bCs/>
          <w:sz w:val="24"/>
          <w:highlight w:val="none"/>
        </w:rPr>
        <w:t>（北京时间）在江西省公共资源交易网（</w:t>
      </w:r>
      <w:r>
        <w:rPr>
          <w:highlight w:val="none"/>
        </w:rPr>
        <w:fldChar w:fldCharType="begin"/>
      </w:r>
      <w:r>
        <w:rPr>
          <w:highlight w:val="none"/>
        </w:rPr>
        <w:instrText xml:space="preserve"> HYPERLINK "http://www.jxsggzy.cn/web/" </w:instrText>
      </w:r>
      <w:r>
        <w:rPr>
          <w:highlight w:val="none"/>
        </w:rPr>
        <w:fldChar w:fldCharType="separate"/>
      </w:r>
      <w:r>
        <w:rPr>
          <w:rFonts w:hint="eastAsia" w:ascii="宋体" w:hAnsi="宋体" w:cs="宋体"/>
          <w:bCs/>
          <w:sz w:val="24"/>
          <w:highlight w:val="none"/>
        </w:rPr>
        <w:t>http://www.jxsggzy.cn/web/</w:t>
      </w:r>
      <w:r>
        <w:rPr>
          <w:rFonts w:hint="eastAsia" w:ascii="宋体" w:hAnsi="宋体" w:cs="宋体"/>
          <w:bCs/>
          <w:sz w:val="24"/>
          <w:highlight w:val="none"/>
        </w:rPr>
        <w:fldChar w:fldCharType="end"/>
      </w:r>
      <w:r>
        <w:rPr>
          <w:rFonts w:hint="eastAsia" w:ascii="宋体" w:hAnsi="宋体" w:cs="宋体"/>
          <w:bCs/>
          <w:sz w:val="24"/>
          <w:highlight w:val="none"/>
        </w:rPr>
        <w:t>）下载本项目招标文件等资料，并于</w:t>
      </w:r>
      <w:r>
        <w:rPr>
          <w:rFonts w:hint="eastAsia" w:ascii="宋体" w:hAnsi="宋体" w:cs="宋体"/>
          <w:bCs/>
          <w:color w:val="0000FF"/>
          <w:sz w:val="24"/>
          <w:highlight w:val="none"/>
        </w:rPr>
        <w:t>2020年1</w:t>
      </w:r>
      <w:r>
        <w:rPr>
          <w:rFonts w:hint="eastAsia" w:ascii="宋体" w:hAnsi="宋体" w:cs="宋体"/>
          <w:bCs/>
          <w:color w:val="0000FF"/>
          <w:sz w:val="24"/>
          <w:highlight w:val="none"/>
          <w:lang w:val="en-US" w:eastAsia="zh-CN"/>
        </w:rPr>
        <w:t>2</w:t>
      </w:r>
      <w:r>
        <w:rPr>
          <w:rFonts w:hint="eastAsia" w:ascii="宋体" w:hAnsi="宋体" w:cs="宋体"/>
          <w:bCs/>
          <w:color w:val="0000FF"/>
          <w:sz w:val="24"/>
          <w:highlight w:val="none"/>
        </w:rPr>
        <w:t>月</w:t>
      </w:r>
      <w:r>
        <w:rPr>
          <w:rFonts w:hint="eastAsia" w:ascii="宋体" w:hAnsi="宋体" w:cs="宋体"/>
          <w:bCs/>
          <w:color w:val="0000FF"/>
          <w:sz w:val="24"/>
          <w:highlight w:val="none"/>
          <w:lang w:val="en-US" w:eastAsia="zh-CN"/>
        </w:rPr>
        <w:t>2</w:t>
      </w:r>
      <w:r>
        <w:rPr>
          <w:rFonts w:hint="eastAsia" w:ascii="宋体" w:hAnsi="宋体" w:cs="宋体"/>
          <w:bCs/>
          <w:color w:val="0000FF"/>
          <w:sz w:val="24"/>
          <w:highlight w:val="none"/>
        </w:rPr>
        <w:t>日</w:t>
      </w:r>
      <w:r>
        <w:rPr>
          <w:rFonts w:hint="eastAsia" w:ascii="宋体" w:hAnsi="宋体" w:cs="宋体"/>
          <w:bCs/>
          <w:sz w:val="24"/>
          <w:highlight w:val="none"/>
        </w:rPr>
        <w:t>前向采购人提交书面投标意向书（格式详后附件，可提交电子文件）。</w:t>
      </w:r>
    </w:p>
    <w:p>
      <w:pPr>
        <w:shd w:val="clear"/>
        <w:spacing w:line="360" w:lineRule="auto"/>
        <w:rPr>
          <w:rFonts w:ascii="宋体" w:hAnsi="宋体" w:cs="宋体"/>
          <w:bCs/>
          <w:sz w:val="24"/>
          <w:highlight w:val="none"/>
        </w:rPr>
      </w:pPr>
      <w:r>
        <w:rPr>
          <w:rFonts w:hint="eastAsia" w:ascii="宋体" w:hAnsi="宋体" w:cs="宋体"/>
          <w:bCs/>
          <w:sz w:val="24"/>
          <w:highlight w:val="none"/>
        </w:rPr>
        <w:t>3、投标人必须已在江西省公共资源交易网（网址：http://www.jxsggzy.cn/web/）注册，并办理江西省CA数字证书和电子签章；（办理CA数字证书咨询电话：0791-86212003）,且需在江西省公共资源交易网电子交易系统添加“其他类型（投标人）”的CA身份才可以下载文件及缴纳虚拟保证金，具体操作如何操作或者有疑问请致电新点客服电话：4009980000。</w:t>
      </w:r>
    </w:p>
    <w:p>
      <w:pPr>
        <w:shd w:val="clear"/>
        <w:spacing w:line="360" w:lineRule="auto"/>
        <w:rPr>
          <w:rFonts w:ascii="宋体" w:hAnsi="宋体" w:cs="宋体"/>
          <w:bCs/>
          <w:sz w:val="24"/>
          <w:highlight w:val="none"/>
        </w:rPr>
      </w:pPr>
      <w:r>
        <w:rPr>
          <w:rFonts w:hint="eastAsia" w:ascii="宋体" w:hAnsi="宋体" w:cs="宋体"/>
          <w:bCs/>
          <w:sz w:val="24"/>
          <w:highlight w:val="none"/>
        </w:rPr>
        <w:t>4、本项目采用网上报名、资格后审、纸质化评审。</w:t>
      </w:r>
    </w:p>
    <w:bookmarkEnd w:id="1"/>
    <w:bookmarkEnd w:id="2"/>
    <w:bookmarkEnd w:id="3"/>
    <w:bookmarkEnd w:id="4"/>
    <w:bookmarkEnd w:id="5"/>
    <w:bookmarkEnd w:id="6"/>
    <w:bookmarkEnd w:id="7"/>
    <w:p>
      <w:pPr>
        <w:shd w:val="clear"/>
        <w:spacing w:line="360" w:lineRule="auto"/>
        <w:ind w:left="-200" w:leftChars="-100" w:right="-200" w:rightChars="-100"/>
        <w:jc w:val="left"/>
        <w:rPr>
          <w:rFonts w:ascii="宋体" w:hAnsi="宋体" w:cs="宋体"/>
          <w:sz w:val="24"/>
          <w:highlight w:val="none"/>
        </w:rPr>
      </w:pPr>
      <w:r>
        <w:rPr>
          <w:rFonts w:hint="eastAsia" w:ascii="宋体" w:hAnsi="宋体" w:cs="宋体"/>
          <w:b/>
          <w:sz w:val="24"/>
          <w:highlight w:val="none"/>
        </w:rPr>
        <w:t>七、投标截止及开标时间：</w:t>
      </w:r>
      <w:r>
        <w:rPr>
          <w:rFonts w:hint="eastAsia" w:ascii="宋体" w:hAnsi="宋体" w:cs="宋体"/>
          <w:color w:val="0000FF"/>
          <w:sz w:val="24"/>
          <w:highlight w:val="none"/>
        </w:rPr>
        <w:t>2020年1</w:t>
      </w:r>
      <w:r>
        <w:rPr>
          <w:rFonts w:hint="eastAsia" w:ascii="宋体" w:hAnsi="宋体" w:cs="宋体"/>
          <w:color w:val="0000FF"/>
          <w:sz w:val="24"/>
          <w:highlight w:val="none"/>
          <w:lang w:val="en-US" w:eastAsia="zh-CN"/>
        </w:rPr>
        <w:t>2</w:t>
      </w:r>
      <w:r>
        <w:rPr>
          <w:rFonts w:hint="eastAsia" w:ascii="宋体" w:hAnsi="宋体" w:cs="宋体"/>
          <w:color w:val="0000FF"/>
          <w:sz w:val="24"/>
          <w:highlight w:val="none"/>
        </w:rPr>
        <w:t>月</w:t>
      </w:r>
      <w:r>
        <w:rPr>
          <w:rFonts w:hint="eastAsia" w:ascii="宋体" w:hAnsi="宋体" w:cs="宋体"/>
          <w:color w:val="0000FF"/>
          <w:sz w:val="24"/>
          <w:highlight w:val="none"/>
          <w:lang w:val="en-US" w:eastAsia="zh-CN"/>
        </w:rPr>
        <w:t>9</w:t>
      </w:r>
      <w:r>
        <w:rPr>
          <w:rFonts w:hint="eastAsia" w:ascii="宋体" w:hAnsi="宋体" w:cs="宋体"/>
          <w:color w:val="0000FF"/>
          <w:sz w:val="24"/>
          <w:highlight w:val="none"/>
        </w:rPr>
        <w:t>日</w:t>
      </w:r>
      <w:r>
        <w:rPr>
          <w:rFonts w:hint="eastAsia" w:ascii="宋体" w:hAnsi="宋体" w:cs="宋体"/>
          <w:color w:val="0000FF"/>
          <w:sz w:val="24"/>
          <w:highlight w:val="none"/>
          <w:lang w:val="en-US" w:eastAsia="zh-CN"/>
        </w:rPr>
        <w:t>9</w:t>
      </w:r>
      <w:r>
        <w:rPr>
          <w:rFonts w:hint="eastAsia" w:ascii="宋体" w:hAnsi="宋体" w:cs="宋体"/>
          <w:color w:val="0000FF"/>
          <w:sz w:val="24"/>
          <w:highlight w:val="none"/>
          <w:lang w:eastAsia="zh-CN"/>
        </w:rPr>
        <w:t>：</w:t>
      </w:r>
      <w:r>
        <w:rPr>
          <w:rFonts w:hint="eastAsia" w:ascii="宋体" w:hAnsi="宋体" w:cs="宋体"/>
          <w:color w:val="0000FF"/>
          <w:sz w:val="24"/>
          <w:highlight w:val="none"/>
          <w:lang w:val="en-US" w:eastAsia="zh-CN"/>
        </w:rPr>
        <w:t>3</w:t>
      </w:r>
      <w:r>
        <w:rPr>
          <w:rFonts w:hint="eastAsia" w:ascii="宋体" w:hAnsi="宋体" w:cs="宋体"/>
          <w:color w:val="0000FF"/>
          <w:sz w:val="24"/>
          <w:highlight w:val="none"/>
        </w:rPr>
        <w:t>0</w:t>
      </w:r>
      <w:r>
        <w:rPr>
          <w:rFonts w:hint="eastAsia" w:ascii="宋体" w:hAnsi="宋体" w:cs="宋体"/>
          <w:sz w:val="24"/>
          <w:highlight w:val="none"/>
        </w:rPr>
        <w:t>（北京时间）。</w:t>
      </w:r>
    </w:p>
    <w:p>
      <w:pPr>
        <w:shd w:val="clear"/>
        <w:spacing w:line="360" w:lineRule="auto"/>
        <w:ind w:left="-200" w:leftChars="-100" w:right="-200" w:rightChars="-100"/>
        <w:jc w:val="left"/>
        <w:rPr>
          <w:rFonts w:ascii="宋体" w:hAnsi="宋体" w:cs="宋体"/>
          <w:sz w:val="24"/>
          <w:highlight w:val="none"/>
        </w:rPr>
      </w:pPr>
      <w:r>
        <w:rPr>
          <w:rFonts w:hint="eastAsia" w:ascii="宋体" w:hAnsi="宋体" w:cs="宋体"/>
          <w:b/>
          <w:sz w:val="24"/>
          <w:highlight w:val="none"/>
        </w:rPr>
        <w:t>八、递交标书及开标地点：</w:t>
      </w:r>
      <w:r>
        <w:rPr>
          <w:rFonts w:hint="eastAsia" w:ascii="宋体" w:hAnsi="宋体" w:cs="宋体"/>
          <w:bCs/>
          <w:sz w:val="24"/>
          <w:highlight w:val="none"/>
        </w:rPr>
        <w:t>石城县公共资源交易中心</w:t>
      </w:r>
      <w:r>
        <w:rPr>
          <w:rFonts w:hint="eastAsia" w:ascii="宋体" w:hAnsi="宋体" w:cs="宋体"/>
          <w:bCs/>
          <w:color w:val="548DD4"/>
          <w:sz w:val="24"/>
          <w:highlight w:val="none"/>
        </w:rPr>
        <w:t>2</w:t>
      </w:r>
      <w:r>
        <w:rPr>
          <w:rFonts w:hint="eastAsia" w:ascii="宋体" w:hAnsi="宋体" w:cs="宋体"/>
          <w:bCs/>
          <w:sz w:val="24"/>
          <w:highlight w:val="none"/>
        </w:rPr>
        <w:t>号开标室</w:t>
      </w:r>
      <w:r>
        <w:rPr>
          <w:rFonts w:hint="eastAsia" w:cs="Arial"/>
          <w:color w:val="000000"/>
          <w:sz w:val="24"/>
          <w:highlight w:val="none"/>
        </w:rPr>
        <w:t>。</w:t>
      </w:r>
      <w:r>
        <w:rPr>
          <w:rFonts w:hint="eastAsia" w:ascii="宋体" w:hAnsi="宋体" w:cs="宋体"/>
          <w:sz w:val="24"/>
          <w:highlight w:val="none"/>
        </w:rPr>
        <w:t>届时请投标人的法定代表人或经正式授权的代理人出席开标大会。</w:t>
      </w:r>
      <w:r>
        <w:rPr>
          <w:rFonts w:hint="eastAsia" w:ascii="宋体" w:hAnsi="宋体" w:cs="宋体"/>
          <w:bCs/>
          <w:sz w:val="24"/>
          <w:highlight w:val="none"/>
        </w:rPr>
        <w:t>逾期送达的或者未送达指定地点的招标响应文件，招标人不予受理，后果由投标人自行承担。</w:t>
      </w:r>
    </w:p>
    <w:p>
      <w:pPr>
        <w:shd w:val="clear"/>
        <w:spacing w:line="400" w:lineRule="exact"/>
        <w:ind w:left="-200" w:leftChars="-100" w:right="-200" w:rightChars="-100"/>
        <w:jc w:val="left"/>
        <w:rPr>
          <w:rFonts w:ascii="宋体" w:hAnsi="宋体" w:cs="宋体"/>
          <w:sz w:val="24"/>
          <w:highlight w:val="none"/>
        </w:rPr>
      </w:pPr>
    </w:p>
    <w:p>
      <w:pPr>
        <w:shd w:val="clear"/>
        <w:spacing w:line="400" w:lineRule="exact"/>
        <w:ind w:left="-200" w:leftChars="-100" w:right="-200" w:rightChars="-100"/>
        <w:jc w:val="left"/>
        <w:rPr>
          <w:rFonts w:ascii="宋体" w:hAnsi="宋体" w:cs="宋体"/>
          <w:sz w:val="24"/>
          <w:highlight w:val="none"/>
        </w:rPr>
      </w:pPr>
      <w:r>
        <w:rPr>
          <w:rFonts w:hint="eastAsia" w:ascii="宋体" w:hAnsi="宋体" w:cs="宋体"/>
          <w:sz w:val="24"/>
          <w:highlight w:val="none"/>
        </w:rPr>
        <w:t>招标人信息：</w:t>
      </w:r>
    </w:p>
    <w:p>
      <w:pPr>
        <w:shd w:val="clear"/>
        <w:spacing w:line="400" w:lineRule="exact"/>
        <w:ind w:left="-200" w:leftChars="-100" w:right="-200" w:rightChars="-100"/>
        <w:jc w:val="left"/>
        <w:rPr>
          <w:rFonts w:ascii="宋体" w:hAnsi="宋体" w:cs="宋体"/>
          <w:sz w:val="24"/>
          <w:highlight w:val="none"/>
        </w:rPr>
      </w:pPr>
      <w:r>
        <w:rPr>
          <w:rFonts w:hint="eastAsia" w:ascii="宋体" w:hAnsi="宋体" w:cs="宋体"/>
          <w:sz w:val="24"/>
          <w:highlight w:val="none"/>
        </w:rPr>
        <w:t>招标人名称：石城县恒鑫矿业有限公司</w:t>
      </w:r>
    </w:p>
    <w:p>
      <w:pPr>
        <w:shd w:val="clear"/>
        <w:spacing w:line="400" w:lineRule="exact"/>
        <w:ind w:left="-200" w:leftChars="-100" w:right="-200" w:rightChars="-100"/>
        <w:jc w:val="left"/>
        <w:rPr>
          <w:rFonts w:ascii="宋体" w:hAnsi="宋体" w:cs="宋体"/>
          <w:sz w:val="24"/>
          <w:highlight w:val="none"/>
        </w:rPr>
      </w:pPr>
      <w:r>
        <w:rPr>
          <w:rFonts w:hint="eastAsia" w:ascii="宋体" w:hAnsi="宋体" w:cs="宋体"/>
          <w:sz w:val="24"/>
          <w:highlight w:val="none"/>
        </w:rPr>
        <w:t>地址：江西省赣州市石城县琴江镇迎宾大道55号</w:t>
      </w:r>
    </w:p>
    <w:p>
      <w:pPr>
        <w:shd w:val="clear"/>
        <w:spacing w:line="400" w:lineRule="exact"/>
        <w:ind w:left="-200" w:leftChars="-100" w:right="-200" w:rightChars="-100"/>
        <w:jc w:val="left"/>
        <w:rPr>
          <w:rFonts w:ascii="宋体" w:hAnsi="宋体" w:cs="宋体"/>
          <w:sz w:val="24"/>
          <w:highlight w:val="none"/>
        </w:rPr>
      </w:pPr>
      <w:r>
        <w:rPr>
          <w:rFonts w:hint="eastAsia" w:ascii="宋体" w:hAnsi="宋体" w:cs="宋体"/>
          <w:sz w:val="24"/>
          <w:highlight w:val="none"/>
        </w:rPr>
        <w:t>联系人：李先生</w:t>
      </w:r>
    </w:p>
    <w:p>
      <w:pPr>
        <w:shd w:val="clear"/>
        <w:spacing w:line="400" w:lineRule="exact"/>
        <w:ind w:left="-200" w:leftChars="-100" w:right="-200" w:rightChars="-100"/>
        <w:jc w:val="left"/>
        <w:rPr>
          <w:rFonts w:ascii="宋体" w:hAnsi="宋体" w:cs="宋体"/>
          <w:sz w:val="24"/>
          <w:highlight w:val="none"/>
        </w:rPr>
      </w:pPr>
      <w:r>
        <w:rPr>
          <w:rFonts w:hint="eastAsia" w:ascii="宋体" w:hAnsi="宋体" w:cs="宋体"/>
          <w:sz w:val="24"/>
          <w:highlight w:val="none"/>
        </w:rPr>
        <w:t>电话：18070102767</w:t>
      </w:r>
    </w:p>
    <w:p>
      <w:pPr>
        <w:shd w:val="clear"/>
        <w:spacing w:line="400" w:lineRule="exact"/>
        <w:ind w:left="-200" w:leftChars="-100" w:right="-200" w:rightChars="-100"/>
        <w:jc w:val="left"/>
        <w:rPr>
          <w:rFonts w:hint="eastAsia" w:ascii="宋体" w:hAnsi="宋体" w:cs="宋体"/>
          <w:sz w:val="24"/>
          <w:highlight w:val="none"/>
        </w:rPr>
      </w:pPr>
      <w:r>
        <w:rPr>
          <w:rFonts w:hint="eastAsia" w:ascii="宋体" w:hAnsi="宋体" w:cs="宋体"/>
          <w:sz w:val="24"/>
          <w:highlight w:val="none"/>
          <w:lang w:val="en-US" w:eastAsia="zh-CN"/>
        </w:rPr>
        <w:t>邮箱：369321947@qq.com</w:t>
      </w:r>
    </w:p>
    <w:p>
      <w:pPr>
        <w:shd w:val="clear"/>
        <w:spacing w:line="400" w:lineRule="exact"/>
        <w:ind w:left="-200" w:leftChars="-100" w:right="-200" w:rightChars="-100"/>
        <w:jc w:val="left"/>
        <w:rPr>
          <w:rFonts w:ascii="宋体" w:hAnsi="宋体" w:cs="宋体"/>
          <w:sz w:val="24"/>
          <w:highlight w:val="none"/>
        </w:rPr>
      </w:pPr>
    </w:p>
    <w:p>
      <w:pPr>
        <w:shd w:val="clear"/>
        <w:spacing w:line="400" w:lineRule="exact"/>
        <w:ind w:left="-200" w:leftChars="-100" w:right="-200" w:rightChars="-100"/>
        <w:jc w:val="left"/>
        <w:rPr>
          <w:rFonts w:ascii="宋体" w:hAnsi="宋体" w:cs="宋体"/>
          <w:sz w:val="24"/>
          <w:highlight w:val="none"/>
        </w:rPr>
      </w:pPr>
      <w:r>
        <w:rPr>
          <w:rFonts w:hint="eastAsia" w:ascii="宋体" w:hAnsi="宋体" w:cs="宋体"/>
          <w:sz w:val="24"/>
          <w:highlight w:val="none"/>
        </w:rPr>
        <w:t xml:space="preserve">招标代理机构信息：江西省机电设备招标有限公司    </w:t>
      </w:r>
    </w:p>
    <w:p>
      <w:pPr>
        <w:shd w:val="clear"/>
        <w:spacing w:line="400" w:lineRule="exact"/>
        <w:ind w:left="-200" w:leftChars="-100" w:right="-200" w:rightChars="-100"/>
        <w:jc w:val="left"/>
        <w:rPr>
          <w:rFonts w:ascii="宋体" w:hAnsi="宋体" w:cs="宋体"/>
          <w:sz w:val="24"/>
          <w:highlight w:val="none"/>
        </w:rPr>
      </w:pPr>
      <w:r>
        <w:rPr>
          <w:rFonts w:hint="eastAsia" w:ascii="宋体" w:hAnsi="宋体" w:cs="宋体"/>
          <w:sz w:val="24"/>
          <w:highlight w:val="none"/>
        </w:rPr>
        <w:t>详细地址：江西省南昌市东湖区省政府大院北二路92号（咨询大厦）二楼203室</w:t>
      </w:r>
    </w:p>
    <w:p>
      <w:pPr>
        <w:shd w:val="clear"/>
        <w:spacing w:line="400" w:lineRule="exact"/>
        <w:ind w:left="-200" w:leftChars="-100" w:right="-200" w:rightChars="-100"/>
        <w:jc w:val="left"/>
        <w:rPr>
          <w:rFonts w:ascii="宋体" w:hAnsi="宋体" w:cs="宋体"/>
          <w:sz w:val="24"/>
          <w:highlight w:val="none"/>
        </w:rPr>
      </w:pPr>
      <w:r>
        <w:rPr>
          <w:rFonts w:hint="eastAsia" w:ascii="宋体" w:hAnsi="宋体" w:cs="宋体"/>
          <w:sz w:val="24"/>
          <w:highlight w:val="none"/>
        </w:rPr>
        <w:t xml:space="preserve">邮    编：330046                  </w:t>
      </w:r>
    </w:p>
    <w:p>
      <w:pPr>
        <w:shd w:val="clear"/>
        <w:spacing w:line="400" w:lineRule="exact"/>
        <w:ind w:left="-200" w:leftChars="-100" w:right="-200" w:rightChars="-100"/>
        <w:jc w:val="left"/>
        <w:rPr>
          <w:rFonts w:ascii="宋体" w:hAnsi="宋体" w:cs="宋体"/>
          <w:sz w:val="24"/>
          <w:highlight w:val="none"/>
        </w:rPr>
      </w:pPr>
      <w:r>
        <w:rPr>
          <w:rFonts w:hint="eastAsia" w:ascii="宋体" w:hAnsi="宋体" w:cs="宋体"/>
          <w:sz w:val="24"/>
          <w:highlight w:val="none"/>
        </w:rPr>
        <w:t>联 系 人：高先生</w:t>
      </w:r>
    </w:p>
    <w:p>
      <w:pPr>
        <w:shd w:val="clear"/>
        <w:spacing w:line="400" w:lineRule="exact"/>
        <w:ind w:left="-200" w:leftChars="-100" w:right="-200" w:rightChars="-100"/>
        <w:jc w:val="left"/>
        <w:rPr>
          <w:rFonts w:ascii="宋体" w:hAnsi="宋体" w:cs="宋体"/>
          <w:sz w:val="24"/>
          <w:highlight w:val="none"/>
        </w:rPr>
      </w:pPr>
      <w:r>
        <w:rPr>
          <w:rFonts w:hint="eastAsia" w:ascii="宋体" w:hAnsi="宋体" w:cs="宋体"/>
          <w:sz w:val="24"/>
          <w:highlight w:val="none"/>
        </w:rPr>
        <w:t xml:space="preserve">电    话：0791-86230334     传    真：0791-86278143  </w:t>
      </w:r>
    </w:p>
    <w:p>
      <w:pPr>
        <w:shd w:val="clear"/>
        <w:spacing w:line="400" w:lineRule="exact"/>
        <w:ind w:left="-200" w:leftChars="-100" w:right="-200" w:rightChars="-100"/>
        <w:jc w:val="left"/>
        <w:rPr>
          <w:rFonts w:ascii="宋体" w:hAnsi="宋体" w:cs="宋体"/>
          <w:sz w:val="24"/>
          <w:highlight w:val="none"/>
        </w:rPr>
      </w:pPr>
      <w:r>
        <w:rPr>
          <w:rFonts w:hint="eastAsia" w:ascii="宋体" w:hAnsi="宋体" w:cs="宋体"/>
          <w:sz w:val="24"/>
          <w:highlight w:val="none"/>
        </w:rPr>
        <w:t xml:space="preserve">电子函件：jz2@jxzxtz.com                                               </w:t>
      </w:r>
    </w:p>
    <w:p>
      <w:pPr>
        <w:shd w:val="clear"/>
        <w:spacing w:line="400" w:lineRule="exact"/>
        <w:ind w:left="-200" w:leftChars="-100" w:right="-200" w:rightChars="-100"/>
        <w:jc w:val="left"/>
        <w:rPr>
          <w:rFonts w:ascii="宋体" w:hAnsi="宋体" w:cs="宋体"/>
          <w:highlight w:val="none"/>
        </w:rPr>
      </w:pPr>
      <w:r>
        <w:rPr>
          <w:rFonts w:hint="eastAsia" w:ascii="宋体" w:hAnsi="宋体" w:cs="宋体"/>
          <w:sz w:val="24"/>
          <w:highlight w:val="none"/>
        </w:rPr>
        <w:t xml:space="preserve">                                          </w:t>
      </w:r>
    </w:p>
    <w:p>
      <w:pPr>
        <w:shd w:val="clear"/>
        <w:spacing w:line="440" w:lineRule="exact"/>
        <w:rPr>
          <w:rFonts w:ascii="宋体" w:hAnsi="宋体" w:cs="宋体"/>
          <w:szCs w:val="21"/>
          <w:highlight w:val="none"/>
        </w:rPr>
      </w:pPr>
    </w:p>
    <w:p>
      <w:pPr>
        <w:widowControl/>
        <w:shd w:val="clear"/>
        <w:spacing w:line="440" w:lineRule="exact"/>
        <w:ind w:left="-174" w:leftChars="-87" w:firstLine="100" w:firstLineChars="50"/>
        <w:jc w:val="left"/>
        <w:rPr>
          <w:rFonts w:ascii="宋体" w:hAnsi="宋体" w:cs="宋体"/>
          <w:sz w:val="24"/>
          <w:highlight w:val="none"/>
        </w:rPr>
        <w:sectPr>
          <w:headerReference r:id="rId9" w:type="default"/>
          <w:pgSz w:w="11907" w:h="16840"/>
          <w:pgMar w:top="1440" w:right="1803" w:bottom="1440" w:left="1803" w:header="851" w:footer="851" w:gutter="0"/>
          <w:pgNumType w:start="1"/>
          <w:cols w:space="720" w:num="1"/>
          <w:docGrid w:linePitch="285" w:charSpace="0"/>
        </w:sectPr>
      </w:pPr>
      <w:r>
        <w:rPr>
          <w:rFonts w:hint="eastAsia" w:ascii="宋体" w:hAnsi="宋体" w:cs="宋体"/>
          <w:b/>
          <w:szCs w:val="21"/>
          <w:highlight w:val="none"/>
        </w:rPr>
        <w:t xml:space="preserve">  </w:t>
      </w:r>
      <w:r>
        <w:rPr>
          <w:rFonts w:hint="eastAsia" w:ascii="宋体" w:hAnsi="宋体" w:cs="宋体"/>
          <w:b/>
          <w:sz w:val="24"/>
          <w:szCs w:val="24"/>
          <w:highlight w:val="none"/>
        </w:rPr>
        <w:t xml:space="preserve">                      </w:t>
      </w:r>
    </w:p>
    <w:p>
      <w:pPr>
        <w:shd w:val="clear"/>
        <w:spacing w:line="440" w:lineRule="exact"/>
        <w:ind w:left="473" w:hanging="473" w:hangingChars="131"/>
        <w:jc w:val="center"/>
        <w:outlineLvl w:val="0"/>
        <w:rPr>
          <w:rFonts w:ascii="宋体" w:hAnsi="宋体" w:cs="宋体"/>
          <w:b/>
          <w:w w:val="80"/>
          <w:sz w:val="36"/>
          <w:szCs w:val="36"/>
          <w:highlight w:val="none"/>
        </w:rPr>
      </w:pPr>
      <w:r>
        <w:rPr>
          <w:rFonts w:hint="eastAsia" w:ascii="宋体" w:hAnsi="宋体" w:cs="宋体"/>
          <w:b/>
          <w:sz w:val="36"/>
          <w:szCs w:val="36"/>
          <w:highlight w:val="none"/>
        </w:rPr>
        <w:t>第二章　</w:t>
      </w:r>
      <w:r>
        <w:rPr>
          <w:rFonts w:hint="eastAsia" w:ascii="宋体" w:hAnsi="宋体" w:cs="宋体"/>
          <w:b/>
          <w:w w:val="80"/>
          <w:sz w:val="36"/>
          <w:szCs w:val="36"/>
          <w:highlight w:val="none"/>
        </w:rPr>
        <w:t>投标人须知</w:t>
      </w:r>
    </w:p>
    <w:p>
      <w:pPr>
        <w:shd w:val="clear"/>
        <w:spacing w:line="440" w:lineRule="exact"/>
        <w:ind w:left="381" w:hanging="379" w:hangingChars="131"/>
        <w:jc w:val="center"/>
        <w:rPr>
          <w:rFonts w:ascii="宋体" w:hAnsi="宋体" w:cs="宋体"/>
          <w:b/>
          <w:w w:val="80"/>
          <w:sz w:val="36"/>
          <w:szCs w:val="36"/>
          <w:highlight w:val="none"/>
        </w:rPr>
      </w:pPr>
    </w:p>
    <w:p>
      <w:pPr>
        <w:shd w:val="clear"/>
        <w:spacing w:line="440" w:lineRule="exact"/>
        <w:ind w:left="381" w:hanging="379" w:hangingChars="131"/>
        <w:jc w:val="center"/>
        <w:outlineLvl w:val="1"/>
        <w:rPr>
          <w:rFonts w:ascii="宋体" w:hAnsi="宋体" w:cs="宋体"/>
          <w:b/>
          <w:w w:val="80"/>
          <w:sz w:val="36"/>
          <w:szCs w:val="36"/>
          <w:highlight w:val="none"/>
        </w:rPr>
      </w:pPr>
      <w:r>
        <w:rPr>
          <w:rFonts w:hint="eastAsia" w:ascii="宋体" w:hAnsi="宋体" w:cs="宋体"/>
          <w:b/>
          <w:w w:val="80"/>
          <w:sz w:val="36"/>
          <w:szCs w:val="36"/>
          <w:highlight w:val="none"/>
        </w:rPr>
        <w:t>投标人须知前附表</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9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68" w:type="pct"/>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项号</w:t>
            </w:r>
          </w:p>
        </w:tc>
        <w:tc>
          <w:tcPr>
            <w:tcW w:w="4732" w:type="pct"/>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trPr>
        <w:tc>
          <w:tcPr>
            <w:tcW w:w="268" w:type="pct"/>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4732" w:type="pct"/>
            <w:tcFitText/>
            <w:vAlign w:val="center"/>
          </w:tcPr>
          <w:p>
            <w:pPr>
              <w:shd w:val="clear"/>
              <w:spacing w:line="360" w:lineRule="exact"/>
              <w:jc w:val="left"/>
              <w:rPr>
                <w:rFonts w:ascii="宋体" w:hAnsi="宋体" w:cs="宋体"/>
                <w:color w:val="auto"/>
                <w:spacing w:val="0"/>
                <w:sz w:val="24"/>
                <w:szCs w:val="24"/>
                <w:highlight w:val="none"/>
              </w:rPr>
            </w:pPr>
            <w:r>
              <w:rPr>
                <w:rFonts w:hint="eastAsia" w:ascii="宋体" w:hAnsi="宋体" w:cs="宋体"/>
                <w:color w:val="auto"/>
                <w:spacing w:val="0"/>
                <w:w w:val="91"/>
                <w:sz w:val="24"/>
                <w:szCs w:val="24"/>
                <w:highlight w:val="none"/>
              </w:rPr>
              <w:t>项目名称：石城县屏山镇琉璃坑矿区年产300万吨砂石骨料（建筑用砂岩矿）项目机电设备安装</w:t>
            </w:r>
          </w:p>
          <w:p>
            <w:pPr>
              <w:shd w:val="clear"/>
              <w:spacing w:line="360" w:lineRule="exact"/>
              <w:jc w:val="left"/>
              <w:rPr>
                <w:rFonts w:ascii="宋体" w:hAnsi="宋体" w:cs="宋体"/>
                <w:color w:val="auto"/>
                <w:spacing w:val="0"/>
                <w:sz w:val="24"/>
                <w:szCs w:val="24"/>
                <w:highlight w:val="none"/>
              </w:rPr>
            </w:pPr>
            <w:r>
              <w:rPr>
                <w:rFonts w:hint="eastAsia" w:ascii="宋体" w:hAnsi="宋体" w:cs="宋体"/>
                <w:color w:val="auto"/>
                <w:spacing w:val="0"/>
                <w:sz w:val="24"/>
                <w:szCs w:val="24"/>
                <w:highlight w:val="none"/>
              </w:rPr>
              <w:t>工程。</w:t>
            </w:r>
          </w:p>
          <w:p>
            <w:pPr>
              <w:shd w:val="clear"/>
              <w:spacing w:line="360" w:lineRule="exact"/>
              <w:jc w:val="left"/>
              <w:rPr>
                <w:rFonts w:ascii="宋体" w:hAnsi="宋体" w:cs="宋体"/>
                <w:color w:val="auto"/>
                <w:spacing w:val="0"/>
                <w:sz w:val="24"/>
                <w:szCs w:val="24"/>
                <w:highlight w:val="none"/>
              </w:rPr>
            </w:pPr>
            <w:r>
              <w:rPr>
                <w:rFonts w:hint="eastAsia" w:ascii="宋体" w:hAnsi="宋体" w:cs="宋体"/>
                <w:color w:val="auto"/>
                <w:spacing w:val="0"/>
                <w:sz w:val="24"/>
                <w:szCs w:val="24"/>
                <w:highlight w:val="none"/>
              </w:rPr>
              <w:t>质量要求：达到现行工程验收规程要求的合格标准。相关货物采购技术要求详见图纸或</w:t>
            </w:r>
          </w:p>
          <w:p>
            <w:pPr>
              <w:shd w:val="clear"/>
              <w:spacing w:line="360" w:lineRule="exact"/>
              <w:jc w:val="left"/>
              <w:rPr>
                <w:rFonts w:ascii="宋体" w:hAnsi="宋体" w:cs="宋体"/>
                <w:color w:val="auto"/>
                <w:spacing w:val="0"/>
                <w:sz w:val="24"/>
                <w:szCs w:val="24"/>
                <w:highlight w:val="none"/>
              </w:rPr>
            </w:pPr>
            <w:r>
              <w:rPr>
                <w:rFonts w:hint="eastAsia" w:ascii="宋体" w:hAnsi="宋体" w:cs="宋体"/>
                <w:color w:val="auto"/>
                <w:spacing w:val="0"/>
                <w:sz w:val="24"/>
                <w:szCs w:val="24"/>
                <w:highlight w:val="none"/>
              </w:rPr>
              <w:t>清单。</w:t>
            </w:r>
          </w:p>
          <w:p>
            <w:pPr>
              <w:shd w:val="clear"/>
              <w:spacing w:line="360" w:lineRule="exact"/>
              <w:jc w:val="left"/>
              <w:rPr>
                <w:rFonts w:ascii="宋体" w:hAnsi="宋体" w:cs="宋体"/>
                <w:color w:val="auto"/>
                <w:spacing w:val="0"/>
                <w:sz w:val="24"/>
                <w:szCs w:val="24"/>
                <w:highlight w:val="none"/>
              </w:rPr>
            </w:pPr>
            <w:r>
              <w:rPr>
                <w:rFonts w:hint="eastAsia" w:ascii="宋体" w:hAnsi="宋体" w:cs="宋体"/>
                <w:color w:val="auto"/>
                <w:spacing w:val="0"/>
                <w:sz w:val="24"/>
                <w:szCs w:val="24"/>
                <w:highlight w:val="none"/>
              </w:rPr>
              <w:t>招标范围：机电设备安装及调试（详见第三章合同主要条款及工程量清单）</w:t>
            </w:r>
          </w:p>
          <w:p>
            <w:pPr>
              <w:shd w:val="clear"/>
              <w:spacing w:line="360" w:lineRule="exact"/>
              <w:jc w:val="both"/>
              <w:rPr>
                <w:rFonts w:ascii="宋体" w:hAnsi="宋体" w:cs="宋体"/>
                <w:color w:val="auto"/>
                <w:spacing w:val="0"/>
                <w:sz w:val="24"/>
                <w:szCs w:val="24"/>
                <w:highlight w:val="none"/>
              </w:rPr>
            </w:pPr>
            <w:r>
              <w:rPr>
                <w:rFonts w:hint="eastAsia" w:ascii="宋体" w:hAnsi="宋体" w:cs="宋体"/>
                <w:color w:val="auto"/>
                <w:spacing w:val="0"/>
                <w:sz w:val="24"/>
                <w:szCs w:val="24"/>
                <w:highlight w:val="none"/>
              </w:rPr>
              <w:t>项目工期：80天</w:t>
            </w:r>
          </w:p>
          <w:p>
            <w:pPr>
              <w:shd w:val="clear"/>
              <w:spacing w:line="360" w:lineRule="exact"/>
              <w:jc w:val="left"/>
              <w:rPr>
                <w:rFonts w:ascii="宋体" w:hAnsi="宋体" w:cs="宋体"/>
                <w:b/>
                <w:color w:val="auto"/>
                <w:spacing w:val="0"/>
                <w:sz w:val="24"/>
                <w:szCs w:val="24"/>
                <w:highlight w:val="none"/>
              </w:rPr>
            </w:pPr>
            <w:r>
              <w:rPr>
                <w:rFonts w:hint="eastAsia" w:ascii="宋体" w:hAnsi="宋体" w:cs="宋体"/>
                <w:color w:val="auto"/>
                <w:spacing w:val="0"/>
                <w:sz w:val="24"/>
                <w:szCs w:val="24"/>
                <w:highlight w:val="none"/>
              </w:rPr>
              <w:t>项目地点：石城县屏山镇新富村琉璃坑项目现场。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68" w:type="pct"/>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2</w:t>
            </w:r>
          </w:p>
        </w:tc>
        <w:tc>
          <w:tcPr>
            <w:tcW w:w="4732" w:type="pct"/>
            <w:vAlign w:val="center"/>
          </w:tcPr>
          <w:p>
            <w:pPr>
              <w:shd w:val="clear"/>
              <w:spacing w:line="440" w:lineRule="exact"/>
              <w:rPr>
                <w:rFonts w:ascii="宋体" w:hAnsi="宋体" w:cs="宋体"/>
                <w:color w:val="auto"/>
                <w:sz w:val="24"/>
                <w:szCs w:val="24"/>
                <w:highlight w:val="none"/>
              </w:rPr>
            </w:pPr>
            <w:r>
              <w:rPr>
                <w:rFonts w:hint="eastAsia" w:ascii="宋体" w:hAnsi="宋体" w:cs="宋体"/>
                <w:b/>
                <w:color w:val="auto"/>
                <w:sz w:val="24"/>
                <w:szCs w:val="24"/>
                <w:highlight w:val="none"/>
              </w:rPr>
              <w:t>投标有效期：</w:t>
            </w:r>
            <w:r>
              <w:rPr>
                <w:rFonts w:hint="eastAsia" w:ascii="宋体" w:hAnsi="宋体" w:cs="宋体"/>
                <w:color w:val="auto"/>
                <w:sz w:val="24"/>
                <w:szCs w:val="24"/>
                <w:highlight w:val="none"/>
              </w:rPr>
              <w:t>自开标之日起不少于90天，否则将导致无效标。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68" w:type="pct"/>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3</w:t>
            </w:r>
          </w:p>
        </w:tc>
        <w:tc>
          <w:tcPr>
            <w:tcW w:w="4732" w:type="pct"/>
            <w:vAlign w:val="center"/>
          </w:tcPr>
          <w:p>
            <w:pPr>
              <w:shd w:val="clear"/>
              <w:spacing w:line="440" w:lineRule="exact"/>
              <w:rPr>
                <w:rFonts w:ascii="宋体" w:hAnsi="宋体" w:cs="宋体"/>
                <w:b/>
                <w:color w:val="auto"/>
                <w:sz w:val="24"/>
                <w:szCs w:val="24"/>
                <w:highlight w:val="none"/>
              </w:rPr>
            </w:pPr>
            <w:r>
              <w:rPr>
                <w:rFonts w:hint="eastAsia" w:ascii="宋体" w:hAnsi="宋体" w:cs="宋体"/>
                <w:b/>
                <w:color w:val="auto"/>
                <w:sz w:val="24"/>
                <w:szCs w:val="24"/>
                <w:highlight w:val="none"/>
              </w:rPr>
              <w:t>投标人资格要求：</w:t>
            </w:r>
          </w:p>
          <w:p>
            <w:pPr>
              <w:shd w:val="clear"/>
              <w:spacing w:line="360" w:lineRule="exact"/>
              <w:rPr>
                <w:rFonts w:ascii="宋体" w:hAnsi="宋体" w:cs="宋体"/>
                <w:color w:val="auto"/>
                <w:sz w:val="22"/>
                <w:szCs w:val="22"/>
                <w:highlight w:val="none"/>
              </w:rPr>
            </w:pPr>
            <w:r>
              <w:rPr>
                <w:rFonts w:hint="eastAsia" w:ascii="宋体" w:hAnsi="宋体" w:cs="宋体"/>
                <w:color w:val="auto"/>
                <w:sz w:val="22"/>
                <w:szCs w:val="22"/>
                <w:highlight w:val="none"/>
              </w:rPr>
              <w:t>1、在中华人民共和国境内依照中华人民共和国法律注册的具有独立法人资格及相应的经营范围的设备安装公司；</w:t>
            </w:r>
            <w:r>
              <w:rPr>
                <w:rFonts w:hint="eastAsia" w:ascii="宋体" w:hAnsi="宋体" w:cs="宋体"/>
                <w:b/>
                <w:color w:val="auto"/>
                <w:sz w:val="22"/>
                <w:szCs w:val="22"/>
                <w:highlight w:val="none"/>
              </w:rPr>
              <w:t>（营业执照复印件加盖公章）</w:t>
            </w:r>
          </w:p>
          <w:p>
            <w:pPr>
              <w:shd w:val="clear"/>
              <w:spacing w:line="360" w:lineRule="exact"/>
              <w:rPr>
                <w:rFonts w:ascii="宋体" w:hAnsi="宋体" w:cs="宋体"/>
                <w:color w:val="auto"/>
                <w:sz w:val="22"/>
                <w:szCs w:val="22"/>
                <w:highlight w:val="none"/>
              </w:rPr>
            </w:pPr>
            <w:r>
              <w:rPr>
                <w:rFonts w:hint="eastAsia" w:ascii="宋体" w:hAnsi="宋体" w:cs="宋体"/>
                <w:color w:val="auto"/>
                <w:sz w:val="22"/>
                <w:szCs w:val="22"/>
                <w:highlight w:val="none"/>
              </w:rPr>
              <w:t>2、投标人必须具有以下资质：具有机电工程施工总承包三级及以上资质、冶金工程施工总承包一级及以上资质、矿山工程施工总承包一级及以上资质的其中一种；</w:t>
            </w:r>
            <w:r>
              <w:rPr>
                <w:rFonts w:hint="eastAsia" w:ascii="宋体" w:hAnsi="宋体" w:cs="宋体"/>
                <w:b/>
                <w:color w:val="auto"/>
                <w:sz w:val="22"/>
                <w:szCs w:val="22"/>
                <w:highlight w:val="none"/>
              </w:rPr>
              <w:t>（资质证书复印件加盖公章）</w:t>
            </w:r>
          </w:p>
          <w:p>
            <w:pPr>
              <w:shd w:val="clear"/>
              <w:spacing w:line="360" w:lineRule="exact"/>
              <w:rPr>
                <w:rFonts w:ascii="宋体" w:hAnsi="宋体" w:cs="宋体"/>
                <w:color w:val="auto"/>
                <w:sz w:val="22"/>
                <w:szCs w:val="22"/>
                <w:highlight w:val="none"/>
              </w:rPr>
            </w:pPr>
            <w:r>
              <w:rPr>
                <w:rFonts w:hint="eastAsia" w:ascii="宋体" w:hAnsi="宋体" w:cs="宋体"/>
                <w:color w:val="auto"/>
                <w:sz w:val="22"/>
                <w:szCs w:val="22"/>
                <w:highlight w:val="none"/>
              </w:rPr>
              <w:t>4、投标人必须具有以下业绩：具有2015年1月1日以来具有年生产能力200万吨（或时产600吨）及以上矿石加工生产线主体工程主要机电设备及电气设备安装业绩；</w:t>
            </w:r>
            <w:r>
              <w:rPr>
                <w:rFonts w:hint="eastAsia" w:ascii="宋体" w:hAnsi="宋体" w:cs="宋体"/>
                <w:b/>
                <w:color w:val="auto"/>
                <w:sz w:val="22"/>
                <w:szCs w:val="22"/>
                <w:highlight w:val="none"/>
              </w:rPr>
              <w:t>（提供合同或中标通知书加盖投标人公章的复印件）</w:t>
            </w:r>
            <w:r>
              <w:rPr>
                <w:rFonts w:hint="eastAsia" w:ascii="宋体" w:hAnsi="宋体" w:cs="宋体"/>
                <w:b/>
                <w:bCs/>
                <w:color w:val="auto"/>
                <w:sz w:val="22"/>
                <w:szCs w:val="22"/>
                <w:highlight w:val="none"/>
              </w:rPr>
              <w:t xml:space="preserve"> </w:t>
            </w:r>
          </w:p>
          <w:p>
            <w:pPr>
              <w:shd w:val="clear"/>
              <w:spacing w:line="360" w:lineRule="exact"/>
              <w:rPr>
                <w:rFonts w:ascii="宋体" w:hAnsi="宋体" w:cs="宋体"/>
                <w:color w:val="auto"/>
                <w:sz w:val="22"/>
                <w:szCs w:val="22"/>
                <w:highlight w:val="none"/>
              </w:rPr>
            </w:pPr>
            <w:r>
              <w:rPr>
                <w:rFonts w:hint="eastAsia" w:ascii="宋体" w:hAnsi="宋体" w:cs="宋体"/>
                <w:color w:val="auto"/>
                <w:sz w:val="22"/>
                <w:szCs w:val="22"/>
                <w:highlight w:val="none"/>
              </w:rPr>
              <w:t>5、法定代表人证书或委托代理人委托书，本人身份证复印件；</w:t>
            </w:r>
          </w:p>
          <w:p>
            <w:pPr>
              <w:shd w:val="clear"/>
              <w:autoSpaceDE w:val="0"/>
              <w:autoSpaceDN w:val="0"/>
              <w:adjustRightInd w:val="0"/>
              <w:snapToGrid w:val="0"/>
              <w:spacing w:line="440" w:lineRule="exact"/>
              <w:textAlignment w:val="bottom"/>
              <w:rPr>
                <w:rFonts w:ascii="宋体" w:hAnsi="宋体" w:cs="宋体"/>
                <w:color w:val="auto"/>
                <w:sz w:val="22"/>
                <w:szCs w:val="22"/>
                <w:highlight w:val="none"/>
              </w:rPr>
            </w:pPr>
            <w:r>
              <w:rPr>
                <w:rFonts w:hint="eastAsia" w:ascii="宋体" w:hAnsi="宋体" w:cs="宋体"/>
                <w:color w:val="auto"/>
                <w:sz w:val="22"/>
                <w:szCs w:val="22"/>
                <w:highlight w:val="none"/>
              </w:rPr>
              <w:t>6、投标保证金转账凭证加盖公章或投标保函原件。</w:t>
            </w:r>
          </w:p>
          <w:p>
            <w:pPr>
              <w:shd w:val="clear"/>
              <w:spacing w:line="360" w:lineRule="auto"/>
              <w:ind w:left="1"/>
              <w:rPr>
                <w:rFonts w:ascii="宋体" w:hAnsi="宋体" w:cs="宋体"/>
                <w:b/>
                <w:color w:val="auto"/>
                <w:sz w:val="24"/>
                <w:szCs w:val="24"/>
                <w:highlight w:val="none"/>
              </w:rPr>
            </w:pPr>
            <w:r>
              <w:rPr>
                <w:rFonts w:hint="eastAsia" w:ascii="宋体" w:hAnsi="宋体" w:cs="宋体"/>
                <w:b/>
                <w:color w:val="auto"/>
                <w:sz w:val="24"/>
                <w:szCs w:val="24"/>
                <w:highlight w:val="none"/>
              </w:rPr>
              <w:t>评审依据所要求的原件可不密封，单独包装，于投标截止时间前递交，同时应将证件（证书）材料复印件加盖投标人公章编入投标文件内。</w:t>
            </w:r>
          </w:p>
          <w:p>
            <w:pPr>
              <w:shd w:val="clear"/>
              <w:autoSpaceDE w:val="0"/>
              <w:autoSpaceDN w:val="0"/>
              <w:adjustRightInd w:val="0"/>
              <w:snapToGrid w:val="0"/>
              <w:spacing w:line="440" w:lineRule="exact"/>
              <w:ind w:left="-50" w:leftChars="-25" w:firstLine="120" w:firstLineChars="50"/>
              <w:textAlignment w:val="bottom"/>
              <w:rPr>
                <w:rFonts w:ascii="宋体" w:hAnsi="宋体" w:cs="宋体"/>
                <w:color w:val="auto"/>
                <w:sz w:val="24"/>
                <w:szCs w:val="24"/>
                <w:highlight w:val="none"/>
              </w:rPr>
            </w:pPr>
            <w:r>
              <w:rPr>
                <w:rFonts w:hint="eastAsia" w:ascii="宋体" w:hAnsi="宋体" w:cs="宋体"/>
                <w:b/>
                <w:color w:val="auto"/>
                <w:sz w:val="24"/>
                <w:szCs w:val="24"/>
                <w:highlight w:val="none"/>
              </w:rPr>
              <w:t>资格审查合格的投标人才能进入下一阶段的评审。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68" w:type="pct"/>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4</w:t>
            </w:r>
          </w:p>
        </w:tc>
        <w:tc>
          <w:tcPr>
            <w:tcW w:w="4732" w:type="pct"/>
            <w:vAlign w:val="center"/>
          </w:tcPr>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投标保证金的形式：</w:t>
            </w:r>
            <w:bookmarkStart w:id="8" w:name="EBb787da5767464307b83684968dd166db"/>
          </w:p>
          <w:bookmarkEnd w:id="8"/>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☑银行转账；</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☑银行保函（此两种方式投标人可任选）。</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投标保证金的金额：贰拾捌万元整（￥280,000元）。</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开户银行：投标人自行从系统中选择</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帐户：从系统中获取</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帐号：投标人自行在系统中生产</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到账时间：在</w:t>
            </w:r>
            <w:r>
              <w:rPr>
                <w:rFonts w:hint="eastAsia" w:ascii="宋体" w:hAnsi="宋体" w:cs="宋体"/>
                <w:color w:val="0000FF"/>
                <w:sz w:val="24"/>
                <w:szCs w:val="24"/>
                <w:highlight w:val="none"/>
              </w:rPr>
              <w:t>2020年1</w:t>
            </w:r>
            <w:r>
              <w:rPr>
                <w:rFonts w:hint="eastAsia" w:ascii="宋体" w:hAnsi="宋体" w:cs="宋体"/>
                <w:color w:val="0000FF"/>
                <w:sz w:val="24"/>
                <w:szCs w:val="24"/>
                <w:highlight w:val="none"/>
                <w:lang w:val="en-US" w:eastAsia="zh-CN"/>
              </w:rPr>
              <w:t>2</w:t>
            </w:r>
            <w:r>
              <w:rPr>
                <w:rFonts w:hint="eastAsia" w:ascii="宋体" w:hAnsi="宋体" w:cs="宋体"/>
                <w:color w:val="0000FF"/>
                <w:sz w:val="24"/>
                <w:szCs w:val="24"/>
                <w:highlight w:val="none"/>
              </w:rPr>
              <w:t>月</w:t>
            </w:r>
            <w:r>
              <w:rPr>
                <w:rFonts w:hint="eastAsia" w:ascii="宋体" w:hAnsi="宋体" w:cs="宋体"/>
                <w:color w:val="0000FF"/>
                <w:sz w:val="24"/>
                <w:szCs w:val="24"/>
                <w:highlight w:val="none"/>
                <w:lang w:val="en-US" w:eastAsia="zh-CN"/>
              </w:rPr>
              <w:t>8</w:t>
            </w:r>
            <w:r>
              <w:rPr>
                <w:rFonts w:hint="eastAsia" w:ascii="宋体" w:hAnsi="宋体" w:cs="宋体"/>
                <w:color w:val="0000FF"/>
                <w:sz w:val="24"/>
                <w:szCs w:val="24"/>
                <w:highlight w:val="none"/>
              </w:rPr>
              <w:t>日17:00</w:t>
            </w:r>
            <w:r>
              <w:rPr>
                <w:rFonts w:hint="eastAsia" w:ascii="宋体" w:hAnsi="宋体" w:cs="宋体"/>
                <w:color w:val="auto"/>
                <w:sz w:val="24"/>
                <w:szCs w:val="24"/>
                <w:highlight w:val="none"/>
              </w:rPr>
              <w:t>前到账（投标截止时间有变动时，到账时间顺延）。</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开户银行：投标人自行从系统中选择。</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帐    户：从系统中获取。</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帐    号：投标人自行在系统中生成。</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备注：（1）本项目采用虚拟子账户方式网上缴纳保证金，投标人应当按照电子保证金系统中的流程操作，在系统中获取保证金子账号，在规定的到账时间之前足额转账到达该子账号中。（投标截止时间有变动时，到账时间顺延）。</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备注信息请注明：“石城县恒鑫矿业有限公司”</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2）采用银行转账方式的，投标人的投标保证金到账时间须在本招标文件规定的到账时间之前；采用纸质银行汇票或者纸质银行保函的，投标人应当在投标截止时间前将纸质银行汇票或者纸质银行保函递交给招标人（或招标人委托的代理机构），纸质银行保函由投标企业法人单位（如为联合体，需为联合体牵头人）注册所在地的本单位基本账户开出。</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（3）采用纸质银行保函的投标人，其保函需从投标人基本账户银行开出（投标截止时间前将</w:t>
            </w:r>
            <w:r>
              <w:rPr>
                <w:rFonts w:hint="eastAsia" w:ascii="宋体" w:hAnsi="宋体" w:cs="宋体"/>
                <w:b/>
                <w:bCs/>
                <w:color w:val="auto"/>
                <w:sz w:val="24"/>
                <w:szCs w:val="24"/>
                <w:highlight w:val="none"/>
              </w:rPr>
              <w:t>纸质保函原件</w:t>
            </w:r>
            <w:r>
              <w:rPr>
                <w:rFonts w:hint="eastAsia" w:ascii="宋体" w:hAnsi="宋体" w:cs="宋体"/>
                <w:color w:val="auto"/>
                <w:sz w:val="24"/>
                <w:szCs w:val="24"/>
                <w:highlight w:val="none"/>
              </w:rPr>
              <w:t>和基本账户证明递交给招标代理机构）</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受益人为招标人；受益人提出索赔范围须与招标文件中投标保证金不予退还情形一致；发生索赔时，仅需受益人提供书面索赔通知和保函原件，即可进行索赔，不得出现任何附加要求或条件的索赔资料或要求。</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4）本项目可以采用电子保函：投标人直接在江西省公共资源交易平台金融服务系统（简称“金融服务系统”）点击开具电子保函，在线确认投标人信息并选择金融机构，由金融机构为投标人在线开具电子投标保函。在投标截止时间前开具成功的电子投标保函系统自动确认生效，并通过电子交易系统在线递交（操作手册详见PC端浏览器输入http://ggzy.jiangxi.gov.cn/jrfw可以直接进入金融服务系统首页-资讯中心-帮助中心查看操作手册）。电子保函需打印出来，签到时一并交给招标人或招标代理工作人员。</w:t>
            </w:r>
          </w:p>
          <w:p>
            <w:pPr>
              <w:numPr>
                <w:ilvl w:val="3"/>
                <w:numId w:val="1"/>
              </w:numPr>
              <w:shd w:val="clear"/>
              <w:autoSpaceDE w:val="0"/>
              <w:autoSpaceDN w:val="0"/>
              <w:adjustRightInd w:val="0"/>
              <w:snapToGrid w:val="0"/>
              <w:spacing w:line="440" w:lineRule="exact"/>
              <w:textAlignment w:val="bottom"/>
              <w:rPr>
                <w:rFonts w:ascii="宋体" w:hAnsi="宋体" w:cs="宋体"/>
                <w:color w:val="auto"/>
                <w:sz w:val="24"/>
                <w:szCs w:val="24"/>
                <w:highlight w:val="none"/>
                <w:lang w:val="en-GB"/>
              </w:rPr>
            </w:pPr>
            <w:r>
              <w:rPr>
                <w:rFonts w:hint="eastAsia" w:ascii="宋体" w:hAnsi="宋体" w:cs="宋体"/>
                <w:color w:val="auto"/>
                <w:sz w:val="24"/>
                <w:szCs w:val="24"/>
                <w:highlight w:val="none"/>
              </w:rPr>
              <w:t>（5）未按上述约定形式递交投标保证金的，招标人应当拒收，按投标人自动放弃投标处理。</w:t>
            </w:r>
            <w:r>
              <w:rPr>
                <w:rFonts w:hint="eastAsia" w:ascii="宋体" w:hAnsi="宋体" w:cs="宋体"/>
                <w:b/>
                <w:color w:val="auto"/>
                <w:sz w:val="24"/>
                <w:szCs w:val="24"/>
                <w:highlight w:val="none"/>
              </w:rPr>
              <w:t>履约保证：</w:t>
            </w:r>
            <w:r>
              <w:rPr>
                <w:rFonts w:hint="eastAsia" w:ascii="宋体" w:hAnsi="宋体" w:cs="宋体"/>
                <w:color w:val="auto"/>
                <w:sz w:val="24"/>
                <w:szCs w:val="24"/>
                <w:highlight w:val="none"/>
                <w:lang w:val="en-GB"/>
              </w:rPr>
              <w:t>承包方应在合同双方签字盖章后7日内向招标人提交合同总价10%的履约保证金（</w:t>
            </w:r>
            <w:r>
              <w:rPr>
                <w:rFonts w:hint="eastAsia" w:ascii="宋体" w:hAnsi="宋体" w:cs="宋体"/>
                <w:color w:val="auto"/>
                <w:sz w:val="24"/>
                <w:szCs w:val="24"/>
                <w:highlight w:val="none"/>
              </w:rPr>
              <w:t>保证金</w:t>
            </w:r>
            <w:r>
              <w:rPr>
                <w:rFonts w:hint="eastAsia" w:ascii="宋体" w:hAnsi="宋体" w:cs="宋体"/>
                <w:color w:val="auto"/>
                <w:sz w:val="24"/>
                <w:szCs w:val="24"/>
                <w:highlight w:val="none"/>
                <w:lang w:val="en-GB"/>
              </w:rPr>
              <w:t>保证期限应截止到验收合格通过后）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8" w:type="pct"/>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5</w:t>
            </w:r>
          </w:p>
        </w:tc>
        <w:tc>
          <w:tcPr>
            <w:tcW w:w="4732" w:type="pct"/>
            <w:vAlign w:val="center"/>
          </w:tcPr>
          <w:p>
            <w:pPr>
              <w:shd w:val="clear"/>
              <w:spacing w:line="440" w:lineRule="exact"/>
              <w:rPr>
                <w:color w:val="auto"/>
                <w:sz w:val="24"/>
                <w:szCs w:val="24"/>
                <w:highlight w:val="none"/>
              </w:rPr>
            </w:pPr>
            <w:r>
              <w:rPr>
                <w:rFonts w:hint="eastAsia"/>
                <w:color w:val="auto"/>
                <w:sz w:val="24"/>
                <w:szCs w:val="24"/>
                <w:highlight w:val="none"/>
              </w:rPr>
              <w:t>付款方式：</w:t>
            </w:r>
          </w:p>
          <w:p>
            <w:pPr>
              <w:shd w:val="clear"/>
              <w:autoSpaceDE w:val="0"/>
              <w:autoSpaceDN w:val="0"/>
              <w:adjustRightInd w:val="0"/>
              <w:snapToGrid w:val="0"/>
              <w:spacing w:line="440" w:lineRule="exact"/>
              <w:ind w:left="-51"/>
              <w:textAlignment w:val="bottom"/>
              <w:rPr>
                <w:color w:val="auto"/>
                <w:sz w:val="24"/>
                <w:szCs w:val="24"/>
                <w:highlight w:val="none"/>
              </w:rPr>
            </w:pPr>
            <w:r>
              <w:rPr>
                <w:rFonts w:hint="eastAsia"/>
                <w:color w:val="auto"/>
                <w:sz w:val="24"/>
                <w:szCs w:val="24"/>
                <w:highlight w:val="none"/>
              </w:rPr>
              <w:t>（1）工程预付款支付：招标人于合同签订后15天内向中标人支付合同总价10%的预付款。预付款在工程进度款中扣回。</w:t>
            </w:r>
          </w:p>
          <w:p>
            <w:pPr>
              <w:shd w:val="clear"/>
              <w:autoSpaceDE w:val="0"/>
              <w:autoSpaceDN w:val="0"/>
              <w:adjustRightInd w:val="0"/>
              <w:snapToGrid w:val="0"/>
              <w:spacing w:line="440" w:lineRule="exact"/>
              <w:ind w:left="-51"/>
              <w:textAlignment w:val="bottom"/>
              <w:rPr>
                <w:color w:val="auto"/>
                <w:sz w:val="24"/>
                <w:szCs w:val="24"/>
                <w:highlight w:val="none"/>
              </w:rPr>
            </w:pPr>
            <w:r>
              <w:rPr>
                <w:rFonts w:hint="eastAsia"/>
                <w:color w:val="auto"/>
                <w:sz w:val="24"/>
                <w:szCs w:val="24"/>
                <w:highlight w:val="none"/>
              </w:rPr>
              <w:t>（2）工程进度款支付：</w:t>
            </w:r>
          </w:p>
          <w:p>
            <w:pPr>
              <w:shd w:val="clear"/>
              <w:autoSpaceDE w:val="0"/>
              <w:autoSpaceDN w:val="0"/>
              <w:adjustRightInd w:val="0"/>
              <w:snapToGrid w:val="0"/>
              <w:spacing w:line="440" w:lineRule="exact"/>
              <w:ind w:left="-51"/>
              <w:textAlignment w:val="bottom"/>
              <w:rPr>
                <w:color w:val="auto"/>
                <w:sz w:val="24"/>
                <w:szCs w:val="24"/>
                <w:highlight w:val="none"/>
              </w:rPr>
            </w:pPr>
            <w:r>
              <w:rPr>
                <w:rFonts w:hint="eastAsia"/>
                <w:color w:val="auto"/>
                <w:sz w:val="24"/>
                <w:szCs w:val="24"/>
                <w:highlight w:val="none"/>
              </w:rPr>
              <w:t>①工程进度款按月支付；</w:t>
            </w:r>
          </w:p>
          <w:p>
            <w:pPr>
              <w:shd w:val="clear"/>
              <w:autoSpaceDE w:val="0"/>
              <w:autoSpaceDN w:val="0"/>
              <w:adjustRightInd w:val="0"/>
              <w:snapToGrid w:val="0"/>
              <w:spacing w:line="440" w:lineRule="exact"/>
              <w:ind w:left="-51"/>
              <w:textAlignment w:val="bottom"/>
              <w:rPr>
                <w:color w:val="auto"/>
                <w:sz w:val="24"/>
                <w:szCs w:val="24"/>
                <w:highlight w:val="none"/>
              </w:rPr>
            </w:pPr>
            <w:r>
              <w:rPr>
                <w:rFonts w:hint="eastAsia"/>
                <w:color w:val="auto"/>
                <w:sz w:val="24"/>
                <w:szCs w:val="24"/>
                <w:highlight w:val="none"/>
              </w:rPr>
              <w:t>②中标人根据施工工作量按月编制上月份工程进度费用预算书，于每月10日前提交招标人审核。月度进度款支付按招标人审核后月度实际工作量总额的70%支付；</w:t>
            </w:r>
          </w:p>
          <w:p>
            <w:pPr>
              <w:shd w:val="clear"/>
              <w:autoSpaceDE w:val="0"/>
              <w:autoSpaceDN w:val="0"/>
              <w:adjustRightInd w:val="0"/>
              <w:snapToGrid w:val="0"/>
              <w:spacing w:line="440" w:lineRule="exact"/>
              <w:ind w:left="-51"/>
              <w:textAlignment w:val="bottom"/>
              <w:rPr>
                <w:color w:val="auto"/>
                <w:sz w:val="24"/>
                <w:szCs w:val="24"/>
                <w:highlight w:val="none"/>
              </w:rPr>
            </w:pPr>
            <w:r>
              <w:rPr>
                <w:rFonts w:hint="eastAsia"/>
                <w:color w:val="auto"/>
                <w:sz w:val="24"/>
                <w:szCs w:val="24"/>
                <w:highlight w:val="none"/>
              </w:rPr>
              <w:t>③工程竣工验收合格后支付至实际工程总额的90%（含预付款），待结算审计完成后，招标人支付至工程总额的95％；</w:t>
            </w:r>
          </w:p>
          <w:p>
            <w:pPr>
              <w:shd w:val="clear"/>
              <w:autoSpaceDE w:val="0"/>
              <w:autoSpaceDN w:val="0"/>
              <w:adjustRightInd w:val="0"/>
              <w:snapToGrid w:val="0"/>
              <w:spacing w:line="440" w:lineRule="exact"/>
              <w:ind w:left="-51"/>
              <w:textAlignment w:val="bottom"/>
              <w:rPr>
                <w:color w:val="auto"/>
                <w:sz w:val="24"/>
                <w:szCs w:val="24"/>
                <w:highlight w:val="none"/>
              </w:rPr>
            </w:pPr>
            <w:r>
              <w:rPr>
                <w:rFonts w:hint="eastAsia"/>
                <w:color w:val="auto"/>
                <w:sz w:val="24"/>
                <w:szCs w:val="24"/>
                <w:highlight w:val="none"/>
              </w:rPr>
              <w:t>（3）其余工程总额的5％为工程保证金，待工程保修期满无质量问题后15个工作日内付清。</w:t>
            </w:r>
          </w:p>
          <w:p>
            <w:pPr>
              <w:shd w:val="clear"/>
              <w:autoSpaceDE w:val="0"/>
              <w:autoSpaceDN w:val="0"/>
              <w:adjustRightInd w:val="0"/>
              <w:snapToGrid w:val="0"/>
              <w:spacing w:line="440" w:lineRule="exact"/>
              <w:ind w:left="-51"/>
              <w:textAlignment w:val="bottom"/>
              <w:rPr>
                <w:color w:val="auto"/>
                <w:sz w:val="24"/>
                <w:szCs w:val="24"/>
                <w:highlight w:val="none"/>
              </w:rPr>
            </w:pPr>
            <w:r>
              <w:rPr>
                <w:rFonts w:hint="eastAsia"/>
                <w:color w:val="auto"/>
                <w:sz w:val="24"/>
                <w:szCs w:val="24"/>
                <w:highlight w:val="none"/>
              </w:rPr>
              <w:t>（4）工程款由招标人直接汇入中标人的账户。每次付款前，中标人必须提供符合招标人财务要求的等额正式发票（增值税专用发票）供招标人入账。</w:t>
            </w:r>
          </w:p>
          <w:p>
            <w:pPr>
              <w:pStyle w:val="36"/>
              <w:shd w:val="clear"/>
              <w:spacing w:after="72"/>
              <w:ind w:firstLine="0" w:firstLineChars="0"/>
              <w:rPr>
                <w:color w:val="auto"/>
                <w:highlight w:val="none"/>
                <w:lang w:val="en-US"/>
              </w:rPr>
            </w:pPr>
            <w:r>
              <w:rPr>
                <w:rFonts w:hint="eastAsia" w:ascii="宋体" w:cs="宋体"/>
                <w:color w:val="auto"/>
                <w:szCs w:val="24"/>
                <w:highlight w:val="none"/>
                <w:lang w:val="en-US"/>
              </w:rPr>
              <w:t>注：付款方式不响应为无效标。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68" w:type="pct"/>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4732" w:type="pct"/>
            <w:vAlign w:val="center"/>
          </w:tcPr>
          <w:p>
            <w:pPr>
              <w:shd w:val="clear"/>
              <w:spacing w:line="440" w:lineRule="exact"/>
              <w:rPr>
                <w:rFonts w:ascii="宋体" w:hAnsi="宋体" w:cs="宋体"/>
                <w:color w:val="auto"/>
                <w:sz w:val="24"/>
                <w:szCs w:val="24"/>
                <w:highlight w:val="none"/>
              </w:rPr>
            </w:pPr>
            <w:r>
              <w:rPr>
                <w:rFonts w:hint="eastAsia" w:ascii="宋体" w:hAnsi="宋体" w:cs="宋体"/>
                <w:b/>
                <w:color w:val="auto"/>
                <w:sz w:val="24"/>
                <w:szCs w:val="24"/>
                <w:highlight w:val="none"/>
              </w:rPr>
              <w:t>投标文件份数：</w:t>
            </w:r>
            <w:r>
              <w:rPr>
                <w:rFonts w:hint="eastAsia" w:ascii="宋体" w:hAnsi="宋体" w:cs="宋体"/>
                <w:color w:val="auto"/>
                <w:sz w:val="24"/>
                <w:szCs w:val="24"/>
                <w:highlight w:val="none"/>
              </w:rPr>
              <w:t xml:space="preserve"> 投标文件一式五份，正本一份，副本肆份，同时提供相应电子版文档（U盘）</w:t>
            </w:r>
          </w:p>
          <w:p>
            <w:pPr>
              <w:shd w:val="clear"/>
              <w:spacing w:line="440" w:lineRule="exact"/>
              <w:rPr>
                <w:rFonts w:ascii="宋体" w:hAnsi="宋体" w:cs="宋体"/>
                <w:color w:val="auto"/>
                <w:sz w:val="24"/>
                <w:szCs w:val="24"/>
                <w:highlight w:val="none"/>
              </w:rPr>
            </w:pPr>
            <w:r>
              <w:rPr>
                <w:rFonts w:hint="eastAsia" w:ascii="宋体" w:hAnsi="宋体" w:cs="宋体"/>
                <w:b/>
                <w:color w:val="auto"/>
                <w:sz w:val="24"/>
                <w:szCs w:val="24"/>
                <w:highlight w:val="none"/>
              </w:rPr>
              <w:t>投标文件的装订要求：</w:t>
            </w:r>
            <w:r>
              <w:rPr>
                <w:rFonts w:hint="eastAsia" w:ascii="宋体" w:hAnsi="宋体" w:cs="宋体"/>
                <w:bCs/>
                <w:color w:val="auto"/>
                <w:sz w:val="24"/>
                <w:szCs w:val="24"/>
                <w:highlight w:val="none"/>
              </w:rPr>
              <w:t>投标文件应胶装固定成册，不得有散页</w:t>
            </w:r>
            <w:r>
              <w:rPr>
                <w:rFonts w:hint="eastAsia" w:ascii="宋体" w:hAnsi="宋体" w:cs="宋体"/>
                <w:color w:val="auto"/>
                <w:sz w:val="24"/>
                <w:szCs w:val="24"/>
                <w:highlight w:val="none"/>
              </w:rPr>
              <w:t>。</w:t>
            </w:r>
          </w:p>
          <w:p>
            <w:pPr>
              <w:shd w:val="clear"/>
              <w:spacing w:line="440" w:lineRule="exact"/>
              <w:rPr>
                <w:rFonts w:ascii="宋体" w:hAnsi="宋体" w:cs="宋体"/>
                <w:color w:val="auto"/>
                <w:sz w:val="24"/>
                <w:szCs w:val="24"/>
                <w:highlight w:val="none"/>
              </w:rPr>
            </w:pPr>
            <w:r>
              <w:rPr>
                <w:rFonts w:hint="eastAsia" w:ascii="宋体" w:hAnsi="宋体" w:cs="宋体"/>
                <w:b/>
                <w:color w:val="auto"/>
                <w:sz w:val="24"/>
                <w:szCs w:val="24"/>
                <w:highlight w:val="none"/>
              </w:rPr>
              <w:t>签字或盖章要求：</w:t>
            </w:r>
            <w:r>
              <w:rPr>
                <w:rFonts w:hint="eastAsia" w:ascii="宋体" w:hAnsi="宋体" w:cs="宋体"/>
                <w:bCs/>
                <w:color w:val="auto"/>
                <w:sz w:val="24"/>
                <w:szCs w:val="24"/>
                <w:highlight w:val="none"/>
              </w:rPr>
              <w:t>由投标人的法定代表人或其委托代理人在投标文件格式中明确需签字、盖章处签署全名、盖章。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68" w:type="pct"/>
            <w:vAlign w:val="center"/>
          </w:tcPr>
          <w:p>
            <w:pPr>
              <w:shd w:val="clear"/>
              <w:autoSpaceDE w:val="0"/>
              <w:autoSpaceDN w:val="0"/>
              <w:adjustRightInd w:val="0"/>
              <w:snapToGrid w:val="0"/>
              <w:spacing w:line="44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7</w:t>
            </w:r>
          </w:p>
        </w:tc>
        <w:tc>
          <w:tcPr>
            <w:tcW w:w="4732" w:type="pct"/>
          </w:tcPr>
          <w:p>
            <w:pPr>
              <w:widowControl/>
              <w:shd w:val="clear"/>
              <w:spacing w:line="44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评标标准和评标方法：</w:t>
            </w:r>
          </w:p>
          <w:p>
            <w:pPr>
              <w:shd w:val="clea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评标委员会仅对通过资格审查和初步评审的投标文件进行进一步的详细评审。</w:t>
            </w:r>
          </w:p>
          <w:p>
            <w:pPr>
              <w:shd w:val="clear"/>
              <w:spacing w:line="440" w:lineRule="exact"/>
              <w:ind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采用综合评分法，满分为100分。评标委员会的组成按招标投标法及相关法律法规执行。评标委员会将按照招标文件要求对投标报价、技术、商务内容等进行综合评分，计算出每一投标人综合得分，计算过程及结果均保留小数点后两位。各评标专家分值的算术平均值为投标人的最终得分。按最终得分高低，确定排名顺序，推荐前三名为中标候选人，排名第一的为第一中标候选人。评标委员会按最终得分由高到低的顺序推荐中标候选人。最终得分相等时，按投标总价从低到高确定排序。</w:t>
            </w:r>
          </w:p>
          <w:p>
            <w:pPr>
              <w:shd w:val="clear"/>
              <w:spacing w:line="440" w:lineRule="exact"/>
              <w:ind w:firstLine="361" w:firstLineChars="15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如招标人认为中标价格严重偏离市场，签约前有权要求中标人进一步澄清或选择重新招标的权利。</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(一)价格评议（70分） </w:t>
            </w:r>
          </w:p>
          <w:p>
            <w:pPr>
              <w:shd w:val="clear"/>
              <w:spacing w:line="360" w:lineRule="auto"/>
              <w:ind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具体评分公式为（最低投标总价/投标总价）×70＝投标总价价格得分。公式中投标总价及最低投标总价为同等内容下的有效投标价格，如有缺漏项，则按本次有效投标中该项最高投标价调整价格后，按上面公式计算其价格得分。投标总价不得超过控制价。</w:t>
            </w:r>
          </w:p>
          <w:p>
            <w:pPr>
              <w:shd w:val="clea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（二）技术部分评审（18分）</w:t>
            </w:r>
          </w:p>
          <w:p>
            <w:pPr>
              <w:shd w:val="clea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1、施工组织方案及施工进度计划（10分）</w:t>
            </w:r>
          </w:p>
          <w:p>
            <w:pPr>
              <w:shd w:val="clear"/>
              <w:spacing w:line="360" w:lineRule="auto"/>
              <w:ind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（1）施工组织方案满分为3分。方案完善合理可行，有针对性得3分；方案较完善合理，基本考虑了本项目实际情况得2分；方案不完善，无针对性，进度计划不合理不得分</w:t>
            </w:r>
          </w:p>
          <w:p>
            <w:pPr>
              <w:shd w:val="clear"/>
              <w:spacing w:line="360" w:lineRule="auto"/>
              <w:ind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（2）施工进度计划满分为2分。进度计划合理，有针对性得2分；进度计划较合理，基本考虑了本项目实际情况得1分；进度计划不合理，无针对性不得分。</w:t>
            </w:r>
          </w:p>
          <w:p>
            <w:pPr>
              <w:pStyle w:val="36"/>
              <w:shd w:val="clear"/>
              <w:spacing w:after="72"/>
              <w:ind w:firstLine="398" w:firstLineChars="166"/>
              <w:rPr>
                <w:rFonts w:ascii="宋体" w:eastAsia="宋体" w:cs="宋体"/>
                <w:b w:val="0"/>
                <w:bCs w:val="0"/>
                <w:color w:val="auto"/>
                <w:szCs w:val="24"/>
                <w:highlight w:val="none"/>
                <w:lang w:val="en-US"/>
              </w:rPr>
            </w:pPr>
            <w:r>
              <w:rPr>
                <w:rFonts w:hint="eastAsia" w:ascii="宋体" w:eastAsia="宋体" w:cs="宋体"/>
                <w:b w:val="0"/>
                <w:bCs w:val="0"/>
                <w:color w:val="auto"/>
                <w:szCs w:val="24"/>
                <w:highlight w:val="none"/>
              </w:rPr>
              <w:t>（</w:t>
            </w:r>
            <w:r>
              <w:rPr>
                <w:rFonts w:hint="eastAsia" w:ascii="宋体" w:eastAsia="宋体" w:cs="宋体"/>
                <w:b w:val="0"/>
                <w:bCs w:val="0"/>
                <w:color w:val="auto"/>
                <w:szCs w:val="24"/>
                <w:highlight w:val="none"/>
                <w:lang w:val="en-US"/>
              </w:rPr>
              <w:t>3</w:t>
            </w:r>
            <w:r>
              <w:rPr>
                <w:rFonts w:hint="eastAsia" w:ascii="宋体" w:eastAsia="宋体" w:cs="宋体"/>
                <w:b w:val="0"/>
                <w:bCs w:val="0"/>
                <w:color w:val="auto"/>
                <w:szCs w:val="24"/>
                <w:highlight w:val="none"/>
              </w:rPr>
              <w:t>）</w:t>
            </w:r>
            <w:r>
              <w:rPr>
                <w:rFonts w:hint="eastAsia" w:ascii="宋体" w:eastAsia="宋体" w:cs="宋体"/>
                <w:b w:val="0"/>
                <w:bCs w:val="0"/>
                <w:color w:val="auto"/>
                <w:szCs w:val="24"/>
                <w:highlight w:val="none"/>
                <w:lang w:val="en-US"/>
              </w:rPr>
              <w:t>项目重点难点分析满分为5分。分析方案合理可行，能够体现本项目实际情况的得5分；分析方案较为合理可行，基本体现本项目实际情况的得3分；分析方案不完善、不合理 ，不能体现本项目实际情况的不得分。</w:t>
            </w:r>
          </w:p>
          <w:p>
            <w:pPr>
              <w:shd w:val="clea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2、项目实施人员、机具安排计划配备情况（3分） </w:t>
            </w:r>
          </w:p>
          <w:p>
            <w:pPr>
              <w:shd w:val="clear"/>
              <w:spacing w:line="360" w:lineRule="auto"/>
              <w:ind w:firstLine="240" w:firstLineChars="100"/>
              <w:jc w:val="left"/>
              <w:rPr>
                <w:rFonts w:ascii="宋体" w:hAnsi="宋体" w:cs="宋体"/>
                <w:color w:val="auto"/>
                <w:sz w:val="24"/>
                <w:szCs w:val="24"/>
                <w:highlight w:val="none"/>
              </w:rPr>
            </w:pPr>
            <w:r>
              <w:rPr>
                <w:rFonts w:hint="eastAsia" w:ascii="宋体" w:hAnsi="宋体" w:cs="宋体"/>
                <w:color w:val="auto"/>
                <w:sz w:val="24"/>
                <w:szCs w:val="24"/>
                <w:highlight w:val="none"/>
              </w:rPr>
              <w:t>（1）人员及岗位职能安排合理、满足施工要求得2分，人员安排不合理不得分。</w:t>
            </w:r>
          </w:p>
          <w:p>
            <w:pPr>
              <w:shd w:val="clear"/>
              <w:spacing w:line="360" w:lineRule="auto"/>
              <w:ind w:firstLine="240" w:firstLineChars="100"/>
              <w:jc w:val="left"/>
              <w:rPr>
                <w:rFonts w:ascii="宋体" w:hAnsi="宋体" w:cs="宋体"/>
                <w:color w:val="auto"/>
                <w:sz w:val="24"/>
                <w:szCs w:val="24"/>
                <w:highlight w:val="none"/>
              </w:rPr>
            </w:pPr>
            <w:r>
              <w:rPr>
                <w:rFonts w:hint="eastAsia" w:ascii="宋体" w:hAnsi="宋体" w:cs="宋体"/>
                <w:color w:val="auto"/>
                <w:sz w:val="24"/>
                <w:szCs w:val="24"/>
                <w:highlight w:val="none"/>
              </w:rPr>
              <w:t>（2）机械、机具配备合理、满足施工要求得1分，机械、机具配备不合理不得分。</w:t>
            </w:r>
          </w:p>
          <w:p>
            <w:pPr>
              <w:shd w:val="clea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3、工期响应情况（2分）</w:t>
            </w:r>
          </w:p>
          <w:p>
            <w:pPr>
              <w:shd w:val="clear"/>
              <w:spacing w:line="360" w:lineRule="auto"/>
              <w:ind w:firstLine="240" w:firstLineChars="100"/>
              <w:jc w:val="left"/>
              <w:rPr>
                <w:rFonts w:ascii="宋体" w:hAnsi="宋体" w:cs="宋体"/>
                <w:color w:val="auto"/>
                <w:sz w:val="24"/>
                <w:szCs w:val="24"/>
                <w:highlight w:val="none"/>
              </w:rPr>
            </w:pPr>
            <w:r>
              <w:rPr>
                <w:rFonts w:hint="eastAsia" w:ascii="宋体" w:hAnsi="宋体" w:cs="宋体"/>
                <w:color w:val="auto"/>
                <w:sz w:val="24"/>
                <w:szCs w:val="24"/>
                <w:highlight w:val="none"/>
              </w:rPr>
              <w:t>（1）总工期和各关键子项工程工期均响应得2分。</w:t>
            </w:r>
          </w:p>
          <w:p>
            <w:pPr>
              <w:shd w:val="clear"/>
              <w:spacing w:line="360" w:lineRule="auto"/>
              <w:ind w:firstLine="360" w:firstLineChars="150"/>
              <w:jc w:val="left"/>
              <w:rPr>
                <w:rFonts w:ascii="宋体" w:hAnsi="宋体" w:cs="宋体"/>
                <w:color w:val="auto"/>
                <w:sz w:val="24"/>
                <w:szCs w:val="24"/>
                <w:highlight w:val="none"/>
              </w:rPr>
            </w:pPr>
            <w:r>
              <w:rPr>
                <w:rFonts w:hint="eastAsia" w:ascii="宋体" w:hAnsi="宋体" w:cs="宋体"/>
                <w:color w:val="auto"/>
                <w:sz w:val="24"/>
                <w:szCs w:val="24"/>
                <w:highlight w:val="none"/>
              </w:rPr>
              <w:t>评审依据：投标人提供的施工组织设计的科学性、合理性、完整性、可实施性，人员及机械、机具的配备情况，以及工期响应或提前的承诺情况。工期不响应为无效标。</w:t>
            </w:r>
          </w:p>
          <w:p>
            <w:pPr>
              <w:pStyle w:val="36"/>
              <w:shd w:val="clear"/>
              <w:spacing w:after="72"/>
              <w:ind w:firstLine="0" w:firstLineChars="0"/>
              <w:rPr>
                <w:rFonts w:ascii="宋体" w:eastAsia="宋体" w:cs="宋体"/>
                <w:b w:val="0"/>
                <w:bCs w:val="0"/>
                <w:color w:val="auto"/>
                <w:szCs w:val="24"/>
                <w:highlight w:val="none"/>
                <w:lang w:val="en-US"/>
              </w:rPr>
            </w:pPr>
            <w:r>
              <w:rPr>
                <w:rFonts w:hint="eastAsia" w:ascii="宋体" w:eastAsia="宋体" w:cs="宋体"/>
                <w:b w:val="0"/>
                <w:bCs w:val="0"/>
                <w:color w:val="auto"/>
                <w:szCs w:val="24"/>
                <w:highlight w:val="none"/>
                <w:lang w:val="en-US"/>
              </w:rPr>
              <w:t>4、矿石加工生产线电气及自动控系统深化设计方案（3分）</w:t>
            </w:r>
          </w:p>
          <w:p>
            <w:pPr>
              <w:pStyle w:val="36"/>
              <w:shd w:val="clear"/>
              <w:spacing w:after="72"/>
              <w:ind w:firstLine="480"/>
              <w:rPr>
                <w:rFonts w:ascii="宋体" w:eastAsia="宋体" w:cs="宋体"/>
                <w:b w:val="0"/>
                <w:bCs w:val="0"/>
                <w:color w:val="auto"/>
                <w:szCs w:val="24"/>
                <w:highlight w:val="none"/>
                <w:lang w:val="en-US"/>
              </w:rPr>
            </w:pPr>
            <w:r>
              <w:rPr>
                <w:rFonts w:hint="eastAsia" w:ascii="宋体" w:eastAsia="宋体" w:cs="宋体"/>
                <w:b w:val="0"/>
                <w:bCs w:val="0"/>
                <w:color w:val="auto"/>
                <w:szCs w:val="24"/>
                <w:highlight w:val="none"/>
                <w:lang w:val="en-US"/>
              </w:rPr>
              <w:t>深化方案合理、可行的得3分，深化方案较合理可行的得2分，深化方案不合理的不得分。</w:t>
            </w:r>
          </w:p>
          <w:p>
            <w:pPr>
              <w:pStyle w:val="36"/>
              <w:shd w:val="clear"/>
              <w:spacing w:after="72"/>
              <w:ind w:firstLine="0" w:firstLineChars="0"/>
              <w:rPr>
                <w:rFonts w:ascii="宋体" w:eastAsia="宋体" w:cs="宋体"/>
                <w:b w:val="0"/>
                <w:bCs w:val="0"/>
                <w:color w:val="auto"/>
                <w:szCs w:val="24"/>
                <w:highlight w:val="none"/>
                <w:lang w:val="en-US"/>
              </w:rPr>
            </w:pPr>
            <w:r>
              <w:rPr>
                <w:rFonts w:hint="eastAsia" w:ascii="宋体" w:eastAsia="宋体" w:cs="宋体"/>
                <w:b w:val="0"/>
                <w:bCs w:val="0"/>
                <w:color w:val="auto"/>
                <w:szCs w:val="24"/>
                <w:highlight w:val="none"/>
                <w:lang w:val="en-US"/>
              </w:rPr>
              <w:t>评审依据：深化设计方案说明、图纸。</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（三）商务部分评审（12分）</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1、企业综合素质及业绩（10分）</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（1）项目经理的资质及业绩（5分）</w:t>
            </w:r>
          </w:p>
          <w:p>
            <w:pPr>
              <w:shd w:val="clear"/>
              <w:spacing w:line="360" w:lineRule="auto"/>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a、具有高级工程师职称及注册一级建造师得2分，具有工程师职称及注册一级建造师得1分。</w:t>
            </w:r>
          </w:p>
          <w:p>
            <w:pPr>
              <w:shd w:val="clea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评审依据：有关资质证书复印件（原件评标时核查）。</w:t>
            </w:r>
          </w:p>
          <w:p>
            <w:pPr>
              <w:shd w:val="clear"/>
              <w:spacing w:line="360" w:lineRule="auto"/>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b、项目经理每组织实施过一项同类工程得2分，再每组织实施过一项同类工程加0.5分，最高得3分。</w:t>
            </w:r>
          </w:p>
          <w:p>
            <w:pPr>
              <w:shd w:val="clea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评审依据：合同或中标通知书加盖投标人公章的复印件（原件评标时核查），合同或中标通知书中要明确项目经理的名字。业绩要求同资格标准中的业绩要求。</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（2）企业类似项目业绩（5分）</w:t>
            </w:r>
          </w:p>
          <w:p>
            <w:pPr>
              <w:shd w:val="clea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有一个类似项目安装业绩得3分，每多一个加1分，最多得5分。</w:t>
            </w:r>
          </w:p>
          <w:p>
            <w:pPr>
              <w:shd w:val="clea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评审依据：合同或中标通知书加盖投标人公章的复印件，资格审查的必备业绩也可计分。</w:t>
            </w:r>
          </w:p>
          <w:p>
            <w:pPr>
              <w:shd w:val="clea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注：类似项目业绩指自2015年1月1日以来年生产能力200万吨（或时产600吨）及以上矿石加工生产线主体工程主要机电设备及电气设备安装业绩，其它业绩无效。</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2、投标文件编制质量（2分）</w:t>
            </w:r>
          </w:p>
          <w:p>
            <w:pPr>
              <w:shd w:val="clea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报价文件的规范、清晰程度、完整性2分，由评标委员会根据投标文件在1-2分之间评分。</w:t>
            </w:r>
          </w:p>
          <w:p>
            <w:pPr>
              <w:shd w:val="clear"/>
              <w:spacing w:line="360" w:lineRule="auto"/>
              <w:rPr>
                <w:color w:val="auto"/>
                <w:highlight w:val="none"/>
              </w:rPr>
            </w:pPr>
            <w:r>
              <w:rPr>
                <w:rFonts w:hint="eastAsia" w:ascii="宋体" w:hAnsi="宋体" w:cs="宋体"/>
                <w:color w:val="auto"/>
                <w:sz w:val="24"/>
                <w:szCs w:val="24"/>
                <w:highlight w:val="none"/>
              </w:rPr>
              <w:t>评审依据：投标文件的响应情况。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8" w:type="pct"/>
            <w:vAlign w:val="center"/>
          </w:tcPr>
          <w:p>
            <w:pPr>
              <w:shd w:val="clear"/>
              <w:autoSpaceDE w:val="0"/>
              <w:autoSpaceDN w:val="0"/>
              <w:adjustRightInd w:val="0"/>
              <w:snapToGrid w:val="0"/>
              <w:spacing w:line="440" w:lineRule="exact"/>
              <w:jc w:val="center"/>
              <w:textAlignment w:val="bottom"/>
              <w:rPr>
                <w:rFonts w:ascii="宋体" w:hAnsi="宋体" w:cs="宋体"/>
                <w:color w:val="auto"/>
                <w:sz w:val="24"/>
                <w:szCs w:val="24"/>
                <w:highlight w:val="none"/>
              </w:rPr>
            </w:pPr>
            <w:r>
              <w:rPr>
                <w:rFonts w:hint="eastAsia" w:ascii="宋体" w:hAnsi="宋体" w:cs="宋体"/>
                <w:color w:val="auto"/>
                <w:sz w:val="24"/>
                <w:szCs w:val="24"/>
                <w:highlight w:val="none"/>
              </w:rPr>
              <w:t>8</w:t>
            </w:r>
          </w:p>
        </w:tc>
        <w:tc>
          <w:tcPr>
            <w:tcW w:w="4732" w:type="pct"/>
            <w:vAlign w:val="center"/>
          </w:tcPr>
          <w:p>
            <w:pPr>
              <w:shd w:val="clear"/>
              <w:autoSpaceDE w:val="0"/>
              <w:autoSpaceDN w:val="0"/>
              <w:adjustRightInd w:val="0"/>
              <w:snapToGrid w:val="0"/>
              <w:spacing w:line="440" w:lineRule="exact"/>
              <w:ind w:left="-51"/>
              <w:textAlignment w:val="bottom"/>
              <w:rPr>
                <w:rFonts w:ascii="宋体" w:hAnsi="宋体" w:cs="宋体"/>
                <w:b/>
                <w:color w:val="auto"/>
                <w:sz w:val="24"/>
                <w:szCs w:val="24"/>
                <w:highlight w:val="none"/>
              </w:rPr>
            </w:pPr>
            <w:r>
              <w:rPr>
                <w:rFonts w:hint="eastAsia" w:ascii="宋体" w:hAnsi="宋体" w:cs="宋体"/>
                <w:b/>
                <w:color w:val="auto"/>
                <w:sz w:val="24"/>
                <w:szCs w:val="24"/>
                <w:highlight w:val="none"/>
              </w:rPr>
              <w:t>现场踏勘及招标答疑：</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投标人自行进行现场踏勘。本次招标不举行招标答疑会。投标人若有问题需要澄清解答，应于2020年1</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日下午1</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0前将需澄清的事项编辑成Word文档和加盖单位公章的澄清的事项扫描件，以电子邮件的形式发送至邮箱（</w:t>
            </w:r>
            <w:r>
              <w:rPr>
                <w:color w:val="auto"/>
                <w:highlight w:val="none"/>
              </w:rPr>
              <w:fldChar w:fldCharType="begin"/>
            </w:r>
            <w:r>
              <w:rPr>
                <w:color w:val="auto"/>
                <w:highlight w:val="none"/>
              </w:rPr>
              <w:instrText xml:space="preserve"> HYPERLINK "mailto:邮箱号码为jjja123123@163.com" </w:instrText>
            </w:r>
            <w:r>
              <w:rPr>
                <w:color w:val="auto"/>
                <w:highlight w:val="none"/>
              </w:rPr>
              <w:fldChar w:fldCharType="separate"/>
            </w:r>
            <w:r>
              <w:rPr>
                <w:rFonts w:hint="eastAsia" w:ascii="宋体" w:hAnsi="宋体" w:cs="宋体"/>
                <w:color w:val="auto"/>
                <w:sz w:val="24"/>
                <w:szCs w:val="24"/>
                <w:highlight w:val="none"/>
              </w:rPr>
              <w:t>邮箱</w:t>
            </w:r>
            <w:bookmarkStart w:id="9" w:name="_Hlt217799026"/>
            <w:bookmarkStart w:id="10" w:name="_Hlt217799027"/>
            <w:r>
              <w:rPr>
                <w:rFonts w:hint="eastAsia" w:ascii="宋体" w:hAnsi="宋体" w:cs="宋体"/>
                <w:color w:val="auto"/>
                <w:sz w:val="24"/>
                <w:szCs w:val="24"/>
                <w:highlight w:val="none"/>
              </w:rPr>
              <w:t>为</w:t>
            </w:r>
            <w:bookmarkEnd w:id="9"/>
            <w:bookmarkEnd w:id="10"/>
            <w:r>
              <w:rPr>
                <w:rFonts w:hint="eastAsia" w:ascii="宋体" w:hAnsi="宋体" w:cs="宋体"/>
                <w:color w:val="auto"/>
                <w:sz w:val="24"/>
                <w:szCs w:val="24"/>
                <w:highlight w:val="none"/>
              </w:rPr>
              <w:t xml:space="preserve">jz2@jxzxtz.com </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），并电话通知15180168680。招标人或招标代理机构将对该截止时间前收到的所有问题或疑问予以澄清、解答，请各投标人实时关注精彩纵横电子交易平台网站，逾期不予办理。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8" w:type="pct"/>
            <w:vAlign w:val="center"/>
          </w:tcPr>
          <w:p>
            <w:pPr>
              <w:shd w:val="clear"/>
              <w:autoSpaceDE w:val="0"/>
              <w:autoSpaceDN w:val="0"/>
              <w:adjustRightInd w:val="0"/>
              <w:snapToGrid w:val="0"/>
              <w:spacing w:line="440" w:lineRule="exact"/>
              <w:jc w:val="center"/>
              <w:textAlignment w:val="bottom"/>
              <w:rPr>
                <w:rFonts w:ascii="宋体" w:hAnsi="宋体" w:cs="宋体"/>
                <w:color w:val="auto"/>
                <w:sz w:val="24"/>
                <w:szCs w:val="24"/>
                <w:highlight w:val="none"/>
              </w:rPr>
            </w:pPr>
            <w:r>
              <w:rPr>
                <w:rFonts w:hint="eastAsia" w:ascii="宋体" w:hAnsi="宋体" w:cs="宋体"/>
                <w:color w:val="auto"/>
                <w:sz w:val="24"/>
                <w:szCs w:val="24"/>
                <w:highlight w:val="none"/>
              </w:rPr>
              <w:t>9</w:t>
            </w:r>
          </w:p>
        </w:tc>
        <w:tc>
          <w:tcPr>
            <w:tcW w:w="4732" w:type="pct"/>
            <w:vAlign w:val="center"/>
          </w:tcPr>
          <w:p>
            <w:pPr>
              <w:shd w:val="clear"/>
              <w:spacing w:line="400" w:lineRule="exact"/>
              <w:rPr>
                <w:rFonts w:ascii="宋体" w:hAnsi="宋体" w:cs="宋体"/>
                <w:color w:val="auto"/>
                <w:sz w:val="24"/>
                <w:szCs w:val="24"/>
                <w:highlight w:val="none"/>
              </w:rPr>
            </w:pPr>
            <w:r>
              <w:rPr>
                <w:rFonts w:hint="eastAsia" w:ascii="宋体" w:hAnsi="宋体" w:cs="宋体"/>
                <w:b/>
                <w:color w:val="auto"/>
                <w:sz w:val="24"/>
                <w:szCs w:val="24"/>
                <w:highlight w:val="none"/>
              </w:rPr>
              <w:t>递交投标文件地点：</w:t>
            </w:r>
            <w:r>
              <w:rPr>
                <w:rFonts w:hint="eastAsia" w:ascii="宋体" w:hAnsi="宋体" w:cs="宋体"/>
                <w:bCs/>
                <w:color w:val="auto"/>
                <w:sz w:val="24"/>
                <w:szCs w:val="24"/>
                <w:highlight w:val="none"/>
              </w:rPr>
              <w:t>详见第一章招标公告</w:t>
            </w:r>
          </w:p>
          <w:p>
            <w:pPr>
              <w:shd w:val="clea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开标时间和地点：</w:t>
            </w:r>
          </w:p>
          <w:p>
            <w:pPr>
              <w:shd w:val="clea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开标时间：</w:t>
            </w:r>
            <w:r>
              <w:rPr>
                <w:rFonts w:hint="eastAsia" w:ascii="宋体" w:hAnsi="宋体" w:cs="宋体"/>
                <w:bCs/>
                <w:color w:val="auto"/>
                <w:sz w:val="24"/>
                <w:szCs w:val="24"/>
                <w:highlight w:val="none"/>
              </w:rPr>
              <w:t>详见第一章招标公告</w:t>
            </w:r>
          </w:p>
          <w:p>
            <w:pPr>
              <w:shd w:val="clear"/>
              <w:autoSpaceDE w:val="0"/>
              <w:autoSpaceDN w:val="0"/>
              <w:adjustRightInd w:val="0"/>
              <w:snapToGrid w:val="0"/>
              <w:spacing w:line="440" w:lineRule="exact"/>
              <w:ind w:left="-51"/>
              <w:textAlignment w:val="bottom"/>
              <w:rPr>
                <w:rFonts w:ascii="宋体" w:hAnsi="宋体" w:cs="宋体"/>
                <w:color w:val="auto"/>
                <w:sz w:val="24"/>
                <w:szCs w:val="24"/>
                <w:highlight w:val="none"/>
              </w:rPr>
            </w:pPr>
            <w:r>
              <w:rPr>
                <w:rFonts w:hint="eastAsia" w:ascii="宋体" w:hAnsi="宋体" w:cs="宋体"/>
                <w:color w:val="auto"/>
                <w:sz w:val="24"/>
                <w:szCs w:val="24"/>
                <w:highlight w:val="none"/>
              </w:rPr>
              <w:t>开标地点：</w:t>
            </w:r>
            <w:r>
              <w:rPr>
                <w:rFonts w:hint="eastAsia" w:ascii="宋体" w:hAnsi="宋体" w:cs="宋体"/>
                <w:bCs/>
                <w:color w:val="auto"/>
                <w:sz w:val="24"/>
                <w:szCs w:val="24"/>
                <w:highlight w:val="none"/>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8" w:type="pct"/>
            <w:vAlign w:val="center"/>
          </w:tcPr>
          <w:p>
            <w:pPr>
              <w:shd w:val="clear"/>
              <w:autoSpaceDE w:val="0"/>
              <w:autoSpaceDN w:val="0"/>
              <w:adjustRightInd w:val="0"/>
              <w:snapToGrid w:val="0"/>
              <w:spacing w:line="440" w:lineRule="exact"/>
              <w:jc w:val="center"/>
              <w:textAlignment w:val="bottom"/>
              <w:rPr>
                <w:rFonts w:ascii="宋体" w:hAnsi="宋体" w:cs="宋体"/>
                <w:color w:val="auto"/>
                <w:sz w:val="24"/>
                <w:szCs w:val="24"/>
                <w:highlight w:val="none"/>
              </w:rPr>
            </w:pPr>
            <w:r>
              <w:rPr>
                <w:rFonts w:hint="eastAsia" w:ascii="宋体" w:hAnsi="宋体" w:cs="宋体"/>
                <w:color w:val="auto"/>
                <w:sz w:val="24"/>
                <w:szCs w:val="24"/>
                <w:highlight w:val="none"/>
              </w:rPr>
              <w:t>10</w:t>
            </w:r>
          </w:p>
        </w:tc>
        <w:tc>
          <w:tcPr>
            <w:tcW w:w="4732" w:type="pct"/>
            <w:vAlign w:val="center"/>
          </w:tcPr>
          <w:p>
            <w:pPr>
              <w:shd w:val="clear"/>
              <w:spacing w:line="400" w:lineRule="exact"/>
              <w:rPr>
                <w:rFonts w:ascii="宋体" w:hAnsi="宋体" w:cs="宋体"/>
                <w:color w:val="auto"/>
                <w:sz w:val="24"/>
                <w:szCs w:val="24"/>
                <w:highlight w:val="none"/>
              </w:rPr>
            </w:pPr>
            <w:r>
              <w:rPr>
                <w:rFonts w:hint="eastAsia" w:ascii="宋体" w:hAnsi="宋体" w:cs="宋体"/>
                <w:b/>
                <w:color w:val="auto"/>
                <w:sz w:val="24"/>
                <w:szCs w:val="24"/>
                <w:highlight w:val="none"/>
              </w:rPr>
              <w:t>评标委员会构成：</w:t>
            </w:r>
            <w:r>
              <w:rPr>
                <w:rFonts w:hint="eastAsia" w:ascii="宋体" w:hAnsi="宋体" w:cs="宋体"/>
                <w:color w:val="auto"/>
                <w:sz w:val="24"/>
                <w:szCs w:val="24"/>
                <w:highlight w:val="none"/>
              </w:rPr>
              <w:t>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8" w:type="pct"/>
            <w:vAlign w:val="center"/>
          </w:tcPr>
          <w:p>
            <w:pPr>
              <w:shd w:val="clear"/>
              <w:autoSpaceDE w:val="0"/>
              <w:autoSpaceDN w:val="0"/>
              <w:adjustRightInd w:val="0"/>
              <w:snapToGrid w:val="0"/>
              <w:spacing w:line="440" w:lineRule="exact"/>
              <w:jc w:val="center"/>
              <w:textAlignment w:val="bottom"/>
              <w:rPr>
                <w:rFonts w:ascii="宋体" w:hAnsi="宋体" w:cs="宋体"/>
                <w:color w:val="auto"/>
                <w:sz w:val="24"/>
                <w:szCs w:val="24"/>
                <w:highlight w:val="none"/>
              </w:rPr>
            </w:pPr>
            <w:r>
              <w:rPr>
                <w:rFonts w:hint="eastAsia" w:ascii="宋体" w:hAnsi="宋体" w:cs="宋体"/>
                <w:color w:val="auto"/>
                <w:sz w:val="24"/>
                <w:szCs w:val="24"/>
                <w:highlight w:val="none"/>
              </w:rPr>
              <w:t>11</w:t>
            </w:r>
          </w:p>
        </w:tc>
        <w:tc>
          <w:tcPr>
            <w:tcW w:w="4732" w:type="pct"/>
            <w:vAlign w:val="center"/>
          </w:tcPr>
          <w:p>
            <w:pPr>
              <w:shd w:val="clear"/>
              <w:spacing w:line="360" w:lineRule="exact"/>
              <w:rPr>
                <w:rFonts w:ascii="宋体" w:hAnsi="宋体" w:cs="宋体"/>
                <w:b/>
                <w:color w:val="auto"/>
                <w:sz w:val="24"/>
                <w:szCs w:val="24"/>
                <w:highlight w:val="none"/>
              </w:rPr>
            </w:pPr>
            <w:r>
              <w:rPr>
                <w:rFonts w:hint="eastAsia" w:ascii="宋体" w:hAnsi="宋体" w:cs="宋体"/>
                <w:b/>
                <w:color w:val="auto"/>
                <w:sz w:val="24"/>
                <w:szCs w:val="24"/>
                <w:highlight w:val="none"/>
              </w:rPr>
              <w:t>开标程序：</w:t>
            </w:r>
          </w:p>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（1）介绍参加开标大会的有关人员；</w:t>
            </w:r>
          </w:p>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（2）宣布开标纪律；</w:t>
            </w:r>
          </w:p>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（3）唱标；</w:t>
            </w:r>
          </w:p>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（4）介绍日程安排；</w:t>
            </w:r>
          </w:p>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（5）开标大会结束，投标人返回等候通知。</w:t>
            </w:r>
          </w:p>
          <w:p>
            <w:pPr>
              <w:shd w:val="clear"/>
              <w:spacing w:line="400" w:lineRule="exact"/>
              <w:rPr>
                <w:rFonts w:ascii="宋体" w:hAnsi="宋体" w:cs="宋体"/>
                <w:color w:val="auto"/>
                <w:sz w:val="24"/>
                <w:szCs w:val="24"/>
                <w:highlight w:val="none"/>
              </w:rPr>
            </w:pPr>
            <w:r>
              <w:rPr>
                <w:rFonts w:hint="eastAsia" w:ascii="宋体" w:hAnsi="宋体" w:cs="宋体"/>
                <w:b/>
                <w:color w:val="auto"/>
                <w:sz w:val="24"/>
                <w:szCs w:val="24"/>
                <w:highlight w:val="none"/>
              </w:rPr>
              <w:t>投标人对开标有异议的，应当在开标现场提出，否则不予受理。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8" w:type="pct"/>
            <w:vAlign w:val="center"/>
          </w:tcPr>
          <w:p>
            <w:pPr>
              <w:shd w:val="clear"/>
              <w:autoSpaceDE w:val="0"/>
              <w:autoSpaceDN w:val="0"/>
              <w:adjustRightInd w:val="0"/>
              <w:snapToGrid w:val="0"/>
              <w:spacing w:line="44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12</w:t>
            </w:r>
          </w:p>
        </w:tc>
        <w:tc>
          <w:tcPr>
            <w:tcW w:w="4732" w:type="pct"/>
            <w:vAlign w:val="center"/>
          </w:tcPr>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lang w:val="zh-CN"/>
              </w:rPr>
              <w:t>招标代理服务费参照《国家计委计价格[2002]1980号文件、国家发展改革委员会办公厅发改委价格[2003]857号和国家发展改革委关于降低部分建筑项目收费标准规范收费行为发改价格[2011]534号》标准</w:t>
            </w:r>
            <w:r>
              <w:rPr>
                <w:rFonts w:hint="eastAsia" w:ascii="宋体" w:hAnsi="宋体" w:cs="宋体"/>
                <w:color w:val="auto"/>
                <w:sz w:val="24"/>
                <w:szCs w:val="24"/>
                <w:highlight w:val="none"/>
              </w:rPr>
              <w:t>的80%</w:t>
            </w:r>
            <w:r>
              <w:rPr>
                <w:rFonts w:hint="eastAsia" w:ascii="宋体" w:hAnsi="宋体" w:cs="宋体"/>
                <w:color w:val="auto"/>
                <w:sz w:val="24"/>
                <w:szCs w:val="24"/>
                <w:highlight w:val="none"/>
                <w:lang w:val="zh-CN"/>
              </w:rPr>
              <w:t>差额定率累进法计算收取（计算基数为中标价格），</w:t>
            </w:r>
            <w:r>
              <w:rPr>
                <w:rFonts w:hint="eastAsia" w:ascii="宋体" w:hAnsi="宋体" w:cs="宋体"/>
                <w:color w:val="auto"/>
                <w:sz w:val="24"/>
                <w:szCs w:val="24"/>
                <w:highlight w:val="none"/>
              </w:rPr>
              <w:t>标准如下：</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6"/>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856" w:type="dxa"/>
                  <w:vAlign w:val="center"/>
                </w:tcPr>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中标金额（万元）</w:t>
                  </w:r>
                </w:p>
              </w:tc>
              <w:tc>
                <w:tcPr>
                  <w:tcW w:w="3163" w:type="dxa"/>
                  <w:vAlign w:val="center"/>
                </w:tcPr>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工程招标收费费率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856" w:type="dxa"/>
                  <w:vAlign w:val="center"/>
                </w:tcPr>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100以下</w:t>
                  </w:r>
                </w:p>
              </w:tc>
              <w:tc>
                <w:tcPr>
                  <w:tcW w:w="3163" w:type="dxa"/>
                  <w:vAlign w:val="center"/>
                </w:tcPr>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856" w:type="dxa"/>
                  <w:vAlign w:val="center"/>
                </w:tcPr>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100-500</w:t>
                  </w:r>
                </w:p>
              </w:tc>
              <w:tc>
                <w:tcPr>
                  <w:tcW w:w="3163" w:type="dxa"/>
                  <w:vAlign w:val="center"/>
                </w:tcPr>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856" w:type="dxa"/>
                  <w:vAlign w:val="center"/>
                </w:tcPr>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500-1000</w:t>
                  </w:r>
                </w:p>
              </w:tc>
              <w:tc>
                <w:tcPr>
                  <w:tcW w:w="3163" w:type="dxa"/>
                  <w:vAlign w:val="center"/>
                </w:tcPr>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856" w:type="dxa"/>
                  <w:vAlign w:val="center"/>
                </w:tcPr>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1000-5000</w:t>
                  </w:r>
                </w:p>
              </w:tc>
              <w:tc>
                <w:tcPr>
                  <w:tcW w:w="3163" w:type="dxa"/>
                  <w:vAlign w:val="center"/>
                </w:tcPr>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856" w:type="dxa"/>
                  <w:vAlign w:val="center"/>
                </w:tcPr>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5000-10000</w:t>
                  </w:r>
                </w:p>
              </w:tc>
              <w:tc>
                <w:tcPr>
                  <w:tcW w:w="3163" w:type="dxa"/>
                  <w:vAlign w:val="center"/>
                </w:tcPr>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0.16%</w:t>
                  </w:r>
                </w:p>
              </w:tc>
            </w:tr>
          </w:tbl>
          <w:p>
            <w:pPr>
              <w:shd w:val="clea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投标人不得在结算价中单独列取，须在其投标报价中综合加以考虑，领取中标通知书时提交。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8" w:type="pct"/>
            <w:vAlign w:val="center"/>
          </w:tcPr>
          <w:p>
            <w:pPr>
              <w:shd w:val="clear"/>
              <w:autoSpaceDE w:val="0"/>
              <w:autoSpaceDN w:val="0"/>
              <w:adjustRightInd w:val="0"/>
              <w:snapToGrid w:val="0"/>
              <w:spacing w:line="44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13</w:t>
            </w:r>
          </w:p>
        </w:tc>
        <w:tc>
          <w:tcPr>
            <w:tcW w:w="4732" w:type="pct"/>
            <w:vAlign w:val="center"/>
          </w:tcPr>
          <w:p>
            <w:pPr>
              <w:shd w:val="clear"/>
              <w:spacing w:line="440" w:lineRule="exact"/>
              <w:rPr>
                <w:b/>
                <w:bCs/>
                <w:color w:val="auto"/>
                <w:sz w:val="24"/>
                <w:szCs w:val="24"/>
                <w:highlight w:val="none"/>
              </w:rPr>
            </w:pPr>
            <w:r>
              <w:rPr>
                <w:rFonts w:hint="eastAsia"/>
                <w:b/>
                <w:bCs/>
                <w:color w:val="auto"/>
                <w:sz w:val="24"/>
                <w:szCs w:val="24"/>
                <w:highlight w:val="none"/>
              </w:rPr>
              <w:t>其他：</w:t>
            </w:r>
          </w:p>
          <w:p>
            <w:pPr>
              <w:shd w:val="clear"/>
              <w:spacing w:line="440" w:lineRule="exact"/>
              <w:rPr>
                <w:b/>
                <w:bCs/>
                <w:color w:val="auto"/>
                <w:sz w:val="24"/>
                <w:szCs w:val="24"/>
                <w:highlight w:val="none"/>
              </w:rPr>
            </w:pPr>
            <w:r>
              <w:rPr>
                <w:rFonts w:hint="eastAsia"/>
                <w:b/>
                <w:bCs/>
                <w:color w:val="auto"/>
                <w:sz w:val="24"/>
                <w:szCs w:val="24"/>
                <w:highlight w:val="none"/>
              </w:rPr>
              <w:t>1）投标人在开标之日起3个月之内领取资料费和服务费发票，逾期不予办理。</w:t>
            </w:r>
          </w:p>
          <w:p>
            <w:pPr>
              <w:shd w:val="clear"/>
              <w:autoSpaceDE w:val="0"/>
              <w:autoSpaceDN w:val="0"/>
              <w:adjustRightInd w:val="0"/>
              <w:snapToGrid w:val="0"/>
              <w:spacing w:line="440" w:lineRule="exact"/>
              <w:ind w:left="-51"/>
              <w:textAlignment w:val="bottom"/>
              <w:rPr>
                <w:b/>
                <w:bCs/>
                <w:color w:val="auto"/>
                <w:sz w:val="24"/>
                <w:szCs w:val="24"/>
                <w:highlight w:val="none"/>
              </w:rPr>
            </w:pPr>
            <w:r>
              <w:rPr>
                <w:rFonts w:hint="eastAsia"/>
                <w:b/>
                <w:bCs/>
                <w:color w:val="auto"/>
                <w:sz w:val="24"/>
                <w:szCs w:val="24"/>
                <w:highlight w:val="none"/>
              </w:rPr>
              <w:t>2）本次招标为一次性报价，不接受澄清报价（如招标人无特殊要求，开标一览表中只允许一个报价）。</w:t>
            </w:r>
          </w:p>
          <w:p>
            <w:pPr>
              <w:shd w:val="clear"/>
              <w:tabs>
                <w:tab w:val="left" w:pos="0"/>
              </w:tabs>
              <w:spacing w:line="440" w:lineRule="exact"/>
              <w:rPr>
                <w:b/>
                <w:bCs/>
                <w:color w:val="auto"/>
                <w:sz w:val="24"/>
                <w:szCs w:val="24"/>
                <w:highlight w:val="none"/>
              </w:rPr>
            </w:pPr>
            <w:r>
              <w:rPr>
                <w:rFonts w:hint="eastAsia"/>
                <w:b/>
                <w:bCs/>
                <w:color w:val="auto"/>
                <w:sz w:val="24"/>
                <w:szCs w:val="24"/>
                <w:highlight w:val="none"/>
              </w:rPr>
              <w:t>3）特别声明：</w:t>
            </w:r>
          </w:p>
          <w:p>
            <w:pPr>
              <w:shd w:val="clear"/>
              <w:autoSpaceDE w:val="0"/>
              <w:autoSpaceDN w:val="0"/>
              <w:adjustRightInd w:val="0"/>
              <w:snapToGrid w:val="0"/>
              <w:spacing w:line="440" w:lineRule="exact"/>
              <w:ind w:left="-51"/>
              <w:textAlignment w:val="bottom"/>
              <w:rPr>
                <w:b/>
                <w:bCs/>
                <w:color w:val="auto"/>
                <w:sz w:val="24"/>
                <w:szCs w:val="24"/>
                <w:highlight w:val="none"/>
              </w:rPr>
            </w:pPr>
            <w:r>
              <w:rPr>
                <w:rFonts w:hint="eastAsia"/>
                <w:b/>
                <w:bCs/>
                <w:color w:val="auto"/>
                <w:sz w:val="24"/>
                <w:szCs w:val="24"/>
                <w:highlight w:val="none"/>
              </w:rPr>
              <w:t>第三章“合同主要条款”为招标文件的重要组成部分。对于本章合同条款，投标方如不响应或有偏离，均应在投标文件中予以明示，否则一律视为响应本章合同条款并构成承包合同的一部分。</w:t>
            </w:r>
          </w:p>
          <w:p>
            <w:pPr>
              <w:shd w:val="clear"/>
              <w:autoSpaceDE w:val="0"/>
              <w:autoSpaceDN w:val="0"/>
              <w:adjustRightInd w:val="0"/>
              <w:snapToGrid w:val="0"/>
              <w:spacing w:line="440" w:lineRule="exact"/>
              <w:ind w:left="-51"/>
              <w:textAlignment w:val="bottom"/>
              <w:rPr>
                <w:b/>
                <w:bCs/>
                <w:color w:val="auto"/>
                <w:sz w:val="24"/>
                <w:szCs w:val="24"/>
                <w:highlight w:val="none"/>
              </w:rPr>
            </w:pPr>
            <w:r>
              <w:rPr>
                <w:rFonts w:hint="eastAsia"/>
                <w:b/>
                <w:bCs/>
                <w:color w:val="auto"/>
                <w:sz w:val="24"/>
                <w:szCs w:val="24"/>
                <w:highlight w:val="none"/>
              </w:rPr>
              <w:t>4）本项目为纸质文件投标。</w:t>
            </w:r>
          </w:p>
          <w:p>
            <w:pPr>
              <w:shd w:val="clear"/>
              <w:autoSpaceDE w:val="0"/>
              <w:autoSpaceDN w:val="0"/>
              <w:adjustRightInd w:val="0"/>
              <w:snapToGrid w:val="0"/>
              <w:spacing w:line="440" w:lineRule="exact"/>
              <w:ind w:left="-51"/>
              <w:textAlignment w:val="bottom"/>
              <w:rPr>
                <w:b/>
                <w:bCs/>
                <w:color w:val="auto"/>
                <w:sz w:val="24"/>
                <w:szCs w:val="24"/>
                <w:highlight w:val="none"/>
              </w:rPr>
            </w:pPr>
            <w:r>
              <w:rPr>
                <w:rFonts w:hint="eastAsia"/>
                <w:b/>
                <w:bCs/>
                <w:color w:val="auto"/>
                <w:sz w:val="24"/>
                <w:szCs w:val="24"/>
                <w:highlight w:val="none"/>
              </w:rPr>
              <w:t>5）投标单位不得挂靠及中标后不得非法分包转包，一经发现，没收投标保证金及履约保证金。</w:t>
            </w:r>
          </w:p>
          <w:p>
            <w:pPr>
              <w:pStyle w:val="36"/>
              <w:shd w:val="clear"/>
              <w:spacing w:after="72"/>
              <w:ind w:firstLine="0" w:firstLineChars="0"/>
              <w:rPr>
                <w:rFonts w:ascii="Tms Rmn" w:hAnsi="Tms Rmn" w:eastAsia="宋体"/>
                <w:color w:val="auto"/>
                <w:szCs w:val="24"/>
                <w:highlight w:val="none"/>
                <w:lang w:val="en-US"/>
              </w:rPr>
            </w:pPr>
            <w:r>
              <w:rPr>
                <w:rFonts w:hint="eastAsia" w:ascii="Tms Rmn" w:hAnsi="Tms Rmn" w:eastAsia="宋体"/>
                <w:color w:val="auto"/>
                <w:szCs w:val="24"/>
                <w:highlight w:val="none"/>
                <w:lang w:val="en-US"/>
              </w:rPr>
              <w:t>6）清单中的工程量为暂估值，最终据实结算，招标人有权根据实际情况进行调整（或子项的增减）。</w:t>
            </w:r>
          </w:p>
          <w:p>
            <w:pPr>
              <w:pStyle w:val="36"/>
              <w:shd w:val="clear"/>
              <w:spacing w:after="72"/>
              <w:ind w:firstLine="0" w:firstLineChars="0"/>
              <w:rPr>
                <w:rFonts w:ascii="Tms Rmn" w:hAnsi="Tms Rmn" w:eastAsia="宋体"/>
                <w:color w:val="auto"/>
                <w:szCs w:val="24"/>
                <w:highlight w:val="none"/>
                <w:lang w:val="en-US"/>
              </w:rPr>
            </w:pPr>
            <w:r>
              <w:rPr>
                <w:rFonts w:hint="eastAsia" w:ascii="Tms Rmn" w:hAnsi="Tms Rmn" w:eastAsia="宋体"/>
                <w:color w:val="auto"/>
                <w:szCs w:val="24"/>
                <w:highlight w:val="none"/>
                <w:lang w:val="en-US"/>
              </w:rPr>
              <w:t>7）所有钢结构施工包含防腐除锈的材料和施工。</w:t>
            </w:r>
          </w:p>
          <w:p>
            <w:pPr>
              <w:pStyle w:val="36"/>
              <w:shd w:val="clear"/>
              <w:spacing w:after="72"/>
              <w:ind w:firstLine="0" w:firstLineChars="0"/>
              <w:rPr>
                <w:rFonts w:ascii="Tms Rmn" w:hAnsi="Tms Rmn" w:eastAsia="宋体"/>
                <w:color w:val="auto"/>
                <w:szCs w:val="24"/>
                <w:highlight w:val="none"/>
                <w:lang w:val="en-US"/>
              </w:rPr>
            </w:pPr>
            <w:r>
              <w:rPr>
                <w:rFonts w:hint="eastAsia" w:ascii="Tms Rmn" w:hAnsi="Tms Rmn" w:eastAsia="宋体"/>
                <w:color w:val="auto"/>
                <w:szCs w:val="24"/>
                <w:highlight w:val="none"/>
                <w:lang w:val="en-US"/>
              </w:rPr>
              <w:t>8）中标单位须在设备基础施工开始时安排专职技术人员进场，对接设备基础的土建施工，负责预埋件制作与施工，如果由于预埋件制作与施工原因导致基础与设备安装不匹配，由中标单位承担相关责任。</w:t>
            </w:r>
          </w:p>
        </w:tc>
      </w:tr>
    </w:tbl>
    <w:p>
      <w:pPr>
        <w:keepNext/>
        <w:keepLines/>
        <w:shd w:val="clear"/>
        <w:spacing w:line="440" w:lineRule="exact"/>
        <w:rPr>
          <w:rFonts w:ascii="宋体" w:hAnsi="宋体" w:cs="宋体"/>
          <w:bCs/>
          <w:kern w:val="2"/>
          <w:sz w:val="24"/>
          <w:highlight w:val="none"/>
        </w:rPr>
      </w:pPr>
      <w:r>
        <w:rPr>
          <w:rFonts w:hint="eastAsia" w:ascii="宋体" w:hAnsi="宋体" w:cs="宋体"/>
          <w:bCs/>
          <w:kern w:val="2"/>
          <w:sz w:val="24"/>
          <w:highlight w:val="none"/>
        </w:rPr>
        <w:t>招标文件内容如果与本“投标人须知前附表”冲突的，以本前附表内容为准。</w:t>
      </w:r>
      <w:bookmarkStart w:id="11" w:name="_Toc219807845"/>
    </w:p>
    <w:p>
      <w:pPr>
        <w:keepNext/>
        <w:keepLines/>
        <w:shd w:val="clear"/>
        <w:spacing w:line="440" w:lineRule="exact"/>
        <w:rPr>
          <w:rFonts w:ascii="宋体" w:hAnsi="宋体" w:cs="宋体"/>
          <w:bCs/>
          <w:kern w:val="2"/>
          <w:sz w:val="24"/>
          <w:highlight w:val="none"/>
        </w:rPr>
        <w:sectPr>
          <w:headerReference r:id="rId10" w:type="default"/>
          <w:pgSz w:w="11907" w:h="16840"/>
          <w:pgMar w:top="1440" w:right="1077" w:bottom="1440" w:left="1077" w:header="851" w:footer="851" w:gutter="0"/>
          <w:cols w:space="720" w:num="1"/>
          <w:docGrid w:linePitch="285" w:charSpace="0"/>
        </w:sectPr>
      </w:pPr>
    </w:p>
    <w:p>
      <w:pPr>
        <w:keepNext/>
        <w:keepLines/>
        <w:shd w:val="clear"/>
        <w:spacing w:line="440" w:lineRule="exact"/>
        <w:outlineLvl w:val="1"/>
        <w:rPr>
          <w:rFonts w:ascii="宋体" w:hAnsi="宋体" w:cs="宋体"/>
          <w:b/>
          <w:bCs/>
          <w:sz w:val="28"/>
          <w:szCs w:val="28"/>
          <w:highlight w:val="none"/>
        </w:rPr>
      </w:pPr>
      <w:r>
        <w:rPr>
          <w:rFonts w:hint="eastAsia" w:ascii="宋体" w:hAnsi="宋体" w:cs="宋体"/>
          <w:b/>
          <w:bCs/>
          <w:sz w:val="28"/>
          <w:szCs w:val="28"/>
          <w:highlight w:val="none"/>
        </w:rPr>
        <w:t>一、总则</w:t>
      </w:r>
      <w:bookmarkEnd w:id="11"/>
      <w:bookmarkStart w:id="12" w:name="_Toc65637145"/>
    </w:p>
    <w:p>
      <w:pPr>
        <w:pStyle w:val="5"/>
        <w:shd w:val="clear"/>
        <w:spacing w:before="0" w:after="0" w:line="440" w:lineRule="exact"/>
        <w:rPr>
          <w:rFonts w:cs="宋体"/>
          <w:sz w:val="24"/>
          <w:szCs w:val="24"/>
          <w:highlight w:val="none"/>
        </w:rPr>
      </w:pPr>
      <w:r>
        <w:rPr>
          <w:rFonts w:hint="eastAsia" w:cs="宋体"/>
          <w:bCs/>
          <w:sz w:val="24"/>
          <w:szCs w:val="24"/>
          <w:highlight w:val="none"/>
        </w:rPr>
        <w:t>1、适用范围</w:t>
      </w:r>
      <w:bookmarkEnd w:id="12"/>
    </w:p>
    <w:p>
      <w:pPr>
        <w:shd w:val="clear"/>
        <w:spacing w:line="440" w:lineRule="exact"/>
        <w:rPr>
          <w:rFonts w:ascii="宋体" w:hAnsi="宋体" w:cs="宋体"/>
          <w:sz w:val="24"/>
          <w:szCs w:val="21"/>
          <w:highlight w:val="none"/>
        </w:rPr>
      </w:pPr>
      <w:r>
        <w:rPr>
          <w:rFonts w:hint="eastAsia" w:ascii="宋体" w:hAnsi="宋体" w:cs="宋体"/>
          <w:sz w:val="24"/>
          <w:highlight w:val="none"/>
        </w:rPr>
        <w:t>1.1</w:t>
      </w:r>
      <w:r>
        <w:rPr>
          <w:rFonts w:hint="eastAsia" w:ascii="宋体" w:hAnsi="宋体" w:cs="宋体"/>
          <w:sz w:val="24"/>
          <w:szCs w:val="21"/>
          <w:highlight w:val="none"/>
        </w:rPr>
        <w:t>本招标文件仅适用于本次招标中所述项目安装和有关服务。</w:t>
      </w:r>
    </w:p>
    <w:p>
      <w:pPr>
        <w:pStyle w:val="5"/>
        <w:shd w:val="clear"/>
        <w:spacing w:before="0" w:after="0" w:line="440" w:lineRule="exact"/>
        <w:rPr>
          <w:rFonts w:cs="宋体"/>
          <w:bCs/>
          <w:sz w:val="24"/>
          <w:szCs w:val="24"/>
          <w:highlight w:val="none"/>
        </w:rPr>
      </w:pPr>
      <w:bookmarkStart w:id="13" w:name="_Toc65637146"/>
      <w:r>
        <w:rPr>
          <w:rFonts w:hint="eastAsia" w:cs="宋体"/>
          <w:bCs/>
          <w:sz w:val="24"/>
          <w:szCs w:val="24"/>
          <w:highlight w:val="none"/>
        </w:rPr>
        <w:t>2、定义</w:t>
      </w:r>
      <w:bookmarkEnd w:id="13"/>
    </w:p>
    <w:p>
      <w:pPr>
        <w:shd w:val="clear"/>
        <w:spacing w:line="440" w:lineRule="exact"/>
        <w:ind w:left="720" w:hanging="720" w:hangingChars="300"/>
        <w:rPr>
          <w:rFonts w:ascii="宋体" w:hAnsi="宋体" w:cs="宋体"/>
          <w:sz w:val="24"/>
          <w:highlight w:val="none"/>
        </w:rPr>
      </w:pPr>
      <w:bookmarkStart w:id="14" w:name="_Toc65637147"/>
      <w:r>
        <w:rPr>
          <w:rFonts w:hint="eastAsia" w:ascii="宋体" w:hAnsi="宋体" w:cs="宋体"/>
          <w:sz w:val="24"/>
          <w:highlight w:val="none"/>
        </w:rPr>
        <w:t>2.1“招标人”系指提出招标项目的法人或其他组织。</w:t>
      </w:r>
    </w:p>
    <w:p>
      <w:pPr>
        <w:shd w:val="clear"/>
        <w:spacing w:line="440" w:lineRule="exact"/>
        <w:ind w:left="720" w:hanging="720" w:hangingChars="300"/>
        <w:rPr>
          <w:rFonts w:ascii="宋体" w:hAnsi="宋体" w:cs="宋体"/>
          <w:sz w:val="24"/>
          <w:highlight w:val="none"/>
        </w:rPr>
      </w:pPr>
      <w:r>
        <w:rPr>
          <w:rFonts w:hint="eastAsia" w:ascii="宋体" w:hAnsi="宋体" w:cs="宋体"/>
          <w:sz w:val="24"/>
          <w:highlight w:val="none"/>
        </w:rPr>
        <w:t>　　招标人名称：石城县恒鑫矿业有限公司</w:t>
      </w:r>
      <w:r>
        <w:rPr>
          <w:rFonts w:hint="eastAsia" w:ascii="宋体" w:hAnsi="宋体" w:cs="宋体"/>
          <w:b/>
          <w:i/>
          <w:sz w:val="24"/>
          <w:highlight w:val="none"/>
        </w:rPr>
        <w:t xml:space="preserve"> </w:t>
      </w:r>
    </w:p>
    <w:p>
      <w:pPr>
        <w:shd w:val="clear"/>
        <w:spacing w:line="440" w:lineRule="exact"/>
        <w:ind w:left="720" w:hanging="720" w:hangingChars="300"/>
        <w:rPr>
          <w:rFonts w:ascii="宋体" w:hAnsi="宋体" w:cs="宋体"/>
          <w:sz w:val="24"/>
          <w:highlight w:val="none"/>
        </w:rPr>
      </w:pPr>
      <w:r>
        <w:rPr>
          <w:rFonts w:hint="eastAsia" w:ascii="宋体" w:hAnsi="宋体" w:cs="宋体"/>
          <w:sz w:val="24"/>
          <w:highlight w:val="none"/>
        </w:rPr>
        <w:t>2.2“招标代理机构”系指接受招标人委托，从事招标代理业务的企业法人。</w:t>
      </w:r>
    </w:p>
    <w:p>
      <w:pPr>
        <w:shd w:val="clear"/>
        <w:spacing w:line="440" w:lineRule="exact"/>
        <w:ind w:left="696" w:leftChars="228" w:hanging="240" w:hangingChars="100"/>
        <w:rPr>
          <w:rFonts w:ascii="宋体" w:hAnsi="宋体" w:cs="宋体"/>
          <w:sz w:val="24"/>
          <w:highlight w:val="none"/>
        </w:rPr>
      </w:pPr>
      <w:r>
        <w:rPr>
          <w:rFonts w:hint="eastAsia" w:ascii="宋体" w:hAnsi="宋体" w:cs="宋体"/>
          <w:sz w:val="24"/>
          <w:highlight w:val="none"/>
        </w:rPr>
        <w:t>招标代理机构名称：江西省机电设备招标有限公司</w:t>
      </w:r>
    </w:p>
    <w:p>
      <w:pPr>
        <w:shd w:val="clear"/>
        <w:spacing w:line="440" w:lineRule="exact"/>
        <w:ind w:left="720" w:hanging="720" w:hangingChars="300"/>
        <w:rPr>
          <w:rFonts w:ascii="宋体" w:hAnsi="宋体" w:cs="宋体"/>
          <w:sz w:val="24"/>
          <w:highlight w:val="none"/>
        </w:rPr>
      </w:pPr>
      <w:r>
        <w:rPr>
          <w:rFonts w:hint="eastAsia" w:ascii="宋体" w:hAnsi="宋体" w:cs="宋体"/>
          <w:sz w:val="24"/>
          <w:highlight w:val="none"/>
        </w:rPr>
        <w:t>2.3“投标人”系指向招标代理机构提交投标文件的制造商、代理商或贸易公司。</w:t>
      </w:r>
    </w:p>
    <w:p>
      <w:pPr>
        <w:shd w:val="clear"/>
        <w:spacing w:line="440" w:lineRule="exact"/>
        <w:ind w:left="1"/>
        <w:rPr>
          <w:rFonts w:ascii="宋体" w:hAnsi="宋体" w:cs="宋体"/>
          <w:sz w:val="24"/>
          <w:highlight w:val="none"/>
        </w:rPr>
      </w:pPr>
      <w:r>
        <w:rPr>
          <w:rFonts w:hint="eastAsia" w:ascii="宋体" w:hAnsi="宋体" w:cs="宋体"/>
          <w:sz w:val="24"/>
          <w:highlight w:val="none"/>
        </w:rPr>
        <w:t>2.4“货物”系指卖方按招标文件规定，须向买方提供的一切设备、机械、仪器仪表、备品备件、工具、材料、物资、手册及其它有关技术资料。</w:t>
      </w:r>
    </w:p>
    <w:p>
      <w:pPr>
        <w:shd w:val="clear"/>
        <w:spacing w:line="440" w:lineRule="exact"/>
        <w:ind w:left="2"/>
        <w:rPr>
          <w:rFonts w:ascii="宋体" w:hAnsi="宋体" w:cs="宋体"/>
          <w:sz w:val="24"/>
          <w:highlight w:val="none"/>
        </w:rPr>
      </w:pPr>
      <w:r>
        <w:rPr>
          <w:rFonts w:hint="eastAsia" w:ascii="宋体" w:hAnsi="宋体" w:cs="宋体"/>
          <w:sz w:val="24"/>
          <w:highlight w:val="none"/>
        </w:rPr>
        <w:t>2.5“服务”系指招标文件规定卖方须承担的拆卸、安装、制作、调试、技术协助、校准、保修以及其他类似的义务。</w:t>
      </w:r>
    </w:p>
    <w:p>
      <w:pPr>
        <w:pStyle w:val="5"/>
        <w:shd w:val="clear"/>
        <w:spacing w:before="0" w:after="0" w:line="440" w:lineRule="exact"/>
        <w:rPr>
          <w:rFonts w:cs="宋体"/>
          <w:bCs/>
          <w:sz w:val="24"/>
          <w:szCs w:val="24"/>
          <w:highlight w:val="none"/>
        </w:rPr>
      </w:pPr>
      <w:r>
        <w:rPr>
          <w:rFonts w:hint="eastAsia" w:cs="宋体"/>
          <w:bCs/>
          <w:sz w:val="24"/>
          <w:szCs w:val="24"/>
          <w:highlight w:val="none"/>
        </w:rPr>
        <w:t>3、资金来源</w:t>
      </w:r>
      <w:bookmarkEnd w:id="14"/>
    </w:p>
    <w:p>
      <w:pPr>
        <w:shd w:val="clear"/>
        <w:spacing w:line="440" w:lineRule="exact"/>
        <w:rPr>
          <w:rFonts w:ascii="宋体" w:hAnsi="宋体" w:cs="宋体"/>
          <w:sz w:val="24"/>
          <w:highlight w:val="none"/>
        </w:rPr>
      </w:pPr>
      <w:r>
        <w:rPr>
          <w:rFonts w:hint="eastAsia" w:ascii="宋体" w:hAnsi="宋体" w:cs="宋体"/>
          <w:sz w:val="24"/>
          <w:highlight w:val="none"/>
        </w:rPr>
        <w:t>3.1企业自筹。</w:t>
      </w:r>
    </w:p>
    <w:p>
      <w:pPr>
        <w:pStyle w:val="5"/>
        <w:shd w:val="clear"/>
        <w:spacing w:before="0" w:after="0" w:line="440" w:lineRule="exact"/>
        <w:rPr>
          <w:rFonts w:cs="宋体"/>
          <w:bCs/>
          <w:sz w:val="24"/>
          <w:szCs w:val="24"/>
          <w:highlight w:val="none"/>
        </w:rPr>
      </w:pPr>
      <w:bookmarkStart w:id="15" w:name="_Toc65637148"/>
      <w:r>
        <w:rPr>
          <w:rFonts w:hint="eastAsia" w:cs="宋体"/>
          <w:bCs/>
          <w:sz w:val="24"/>
          <w:szCs w:val="24"/>
          <w:highlight w:val="none"/>
        </w:rPr>
        <w:t>4、合格的投标人</w:t>
      </w:r>
      <w:bookmarkEnd w:id="15"/>
    </w:p>
    <w:p>
      <w:pPr>
        <w:shd w:val="clear"/>
        <w:spacing w:line="360" w:lineRule="auto"/>
        <w:ind w:left="1"/>
        <w:rPr>
          <w:rFonts w:ascii="宋体" w:hAnsi="宋体" w:cs="宋体"/>
          <w:sz w:val="24"/>
          <w:highlight w:val="none"/>
        </w:rPr>
      </w:pPr>
      <w:bookmarkStart w:id="16" w:name="_Toc65637149"/>
      <w:r>
        <w:rPr>
          <w:rFonts w:hint="eastAsia" w:ascii="宋体" w:hAnsi="宋体" w:cs="宋体"/>
          <w:sz w:val="24"/>
          <w:highlight w:val="none"/>
        </w:rPr>
        <w:t>4.1本次招标要求投标人须满足投标须知前附表第3点投标人资格要求的相关要求，否则其投标无效：</w:t>
      </w:r>
    </w:p>
    <w:p>
      <w:pPr>
        <w:shd w:val="clear"/>
        <w:spacing w:line="360" w:lineRule="auto"/>
        <w:ind w:left="1"/>
        <w:rPr>
          <w:rFonts w:ascii="宋体" w:hAnsi="宋体" w:cs="宋体"/>
          <w:b/>
          <w:sz w:val="24"/>
          <w:highlight w:val="none"/>
        </w:rPr>
      </w:pPr>
      <w:r>
        <w:rPr>
          <w:rFonts w:hint="eastAsia" w:ascii="宋体" w:hAnsi="宋体" w:cs="宋体"/>
          <w:b/>
          <w:sz w:val="24"/>
          <w:highlight w:val="none"/>
        </w:rPr>
        <w:t>评审依据所要求的原件可不密封，单独包装，于投标截止时间前递交，同时应将证件（证书）材料复印件加盖投标人公章编入投标文件内。</w:t>
      </w:r>
    </w:p>
    <w:p>
      <w:pPr>
        <w:shd w:val="clear"/>
        <w:spacing w:line="440" w:lineRule="exact"/>
        <w:rPr>
          <w:rFonts w:ascii="宋体" w:hAnsi="宋体" w:cs="宋体"/>
          <w:sz w:val="24"/>
          <w:szCs w:val="21"/>
          <w:highlight w:val="none"/>
        </w:rPr>
      </w:pPr>
      <w:r>
        <w:rPr>
          <w:rFonts w:hint="eastAsia" w:ascii="宋体" w:hAnsi="宋体" w:cs="宋体"/>
          <w:sz w:val="24"/>
          <w:highlight w:val="none"/>
        </w:rPr>
        <w:t xml:space="preserve">4.2  </w:t>
      </w:r>
      <w:r>
        <w:rPr>
          <w:rFonts w:hint="eastAsia" w:ascii="宋体" w:hAnsi="宋体" w:cs="宋体"/>
          <w:sz w:val="24"/>
          <w:szCs w:val="21"/>
          <w:highlight w:val="none"/>
        </w:rPr>
        <w:t>本项目采取资格后审，本项目接受联合体投标；</w:t>
      </w:r>
    </w:p>
    <w:p>
      <w:pPr>
        <w:shd w:val="clear"/>
        <w:spacing w:line="440" w:lineRule="exact"/>
        <w:rPr>
          <w:rFonts w:ascii="宋体" w:hAnsi="宋体" w:cs="宋体"/>
          <w:sz w:val="24"/>
          <w:highlight w:val="none"/>
        </w:rPr>
      </w:pPr>
      <w:r>
        <w:rPr>
          <w:rFonts w:hint="eastAsia" w:ascii="宋体" w:hAnsi="宋体" w:cs="宋体"/>
          <w:sz w:val="24"/>
          <w:highlight w:val="none"/>
        </w:rPr>
        <w:t>4.3  投标人应遵守有关的中国法律和规章条例。</w:t>
      </w:r>
    </w:p>
    <w:p>
      <w:pPr>
        <w:pStyle w:val="5"/>
        <w:shd w:val="clear"/>
        <w:spacing w:before="0" w:after="0" w:line="440" w:lineRule="exact"/>
        <w:rPr>
          <w:rFonts w:cs="宋体"/>
          <w:bCs/>
          <w:sz w:val="24"/>
          <w:szCs w:val="24"/>
          <w:highlight w:val="none"/>
        </w:rPr>
      </w:pPr>
      <w:r>
        <w:rPr>
          <w:rFonts w:hint="eastAsia" w:cs="宋体"/>
          <w:bCs/>
          <w:sz w:val="24"/>
          <w:szCs w:val="24"/>
          <w:highlight w:val="none"/>
        </w:rPr>
        <w:t>5、投标费用</w:t>
      </w:r>
      <w:bookmarkEnd w:id="16"/>
    </w:p>
    <w:p>
      <w:pPr>
        <w:shd w:val="clear"/>
        <w:spacing w:line="440" w:lineRule="exact"/>
        <w:rPr>
          <w:rFonts w:ascii="宋体" w:hAnsi="宋体" w:cs="宋体"/>
          <w:sz w:val="24"/>
          <w:szCs w:val="21"/>
          <w:highlight w:val="none"/>
        </w:rPr>
      </w:pPr>
      <w:r>
        <w:rPr>
          <w:rFonts w:hint="eastAsia" w:ascii="宋体" w:hAnsi="宋体" w:cs="宋体"/>
          <w:sz w:val="24"/>
          <w:highlight w:val="none"/>
        </w:rPr>
        <w:t>5.1</w:t>
      </w:r>
      <w:r>
        <w:rPr>
          <w:rFonts w:hint="eastAsia" w:ascii="宋体" w:hAnsi="宋体" w:cs="宋体"/>
          <w:sz w:val="24"/>
          <w:szCs w:val="21"/>
          <w:highlight w:val="none"/>
        </w:rPr>
        <w:t>投标人应自行承担所有与编写和提交投标文件有关的费用，不论投标的结果如何，“投标须知前附表”中所述的招标人和招标代理机构在任何情况下均无义务和责任承担这些费用。</w:t>
      </w:r>
    </w:p>
    <w:p>
      <w:pPr>
        <w:pStyle w:val="5"/>
        <w:shd w:val="clear"/>
        <w:spacing w:before="0" w:after="0" w:line="440" w:lineRule="exact"/>
        <w:rPr>
          <w:rFonts w:cs="宋体"/>
          <w:bCs/>
          <w:sz w:val="24"/>
          <w:szCs w:val="24"/>
          <w:highlight w:val="none"/>
        </w:rPr>
      </w:pPr>
      <w:bookmarkStart w:id="17" w:name="_Toc65637150"/>
      <w:r>
        <w:rPr>
          <w:rFonts w:hint="eastAsia" w:cs="宋体"/>
          <w:bCs/>
          <w:sz w:val="24"/>
          <w:szCs w:val="24"/>
          <w:highlight w:val="none"/>
        </w:rPr>
        <w:t>6、投标人代表</w:t>
      </w:r>
      <w:bookmarkEnd w:id="17"/>
    </w:p>
    <w:p>
      <w:pPr>
        <w:shd w:val="clear"/>
        <w:spacing w:line="440" w:lineRule="exact"/>
        <w:rPr>
          <w:rFonts w:ascii="宋体" w:hAnsi="宋体" w:cs="宋体"/>
          <w:sz w:val="24"/>
          <w:szCs w:val="21"/>
          <w:highlight w:val="none"/>
        </w:rPr>
      </w:pPr>
      <w:r>
        <w:rPr>
          <w:rFonts w:hint="eastAsia" w:ascii="宋体" w:hAnsi="宋体" w:cs="宋体"/>
          <w:sz w:val="24"/>
          <w:highlight w:val="none"/>
        </w:rPr>
        <w:t>6.1</w:t>
      </w:r>
      <w:r>
        <w:rPr>
          <w:rFonts w:hint="eastAsia" w:ascii="宋体" w:hAnsi="宋体" w:cs="宋体"/>
          <w:sz w:val="24"/>
          <w:szCs w:val="21"/>
          <w:highlight w:val="none"/>
        </w:rPr>
        <w:t>指全权代表投标人参加投标活动并签署投标文件的人。如果投标人代表不是法定代表人，须持有《法定代表人授权书》（格式详见附件）。</w:t>
      </w:r>
    </w:p>
    <w:p>
      <w:pPr>
        <w:pStyle w:val="5"/>
        <w:shd w:val="clear"/>
        <w:spacing w:before="0" w:after="0" w:line="440" w:lineRule="exact"/>
        <w:rPr>
          <w:rFonts w:cs="宋体"/>
          <w:bCs/>
          <w:sz w:val="24"/>
          <w:szCs w:val="24"/>
          <w:highlight w:val="none"/>
        </w:rPr>
      </w:pPr>
      <w:r>
        <w:rPr>
          <w:rFonts w:hint="eastAsia" w:cs="宋体"/>
          <w:bCs/>
          <w:sz w:val="24"/>
          <w:szCs w:val="24"/>
          <w:highlight w:val="none"/>
        </w:rPr>
        <w:t>7、踏勘答疑</w:t>
      </w:r>
    </w:p>
    <w:p>
      <w:pPr>
        <w:shd w:val="clear"/>
        <w:spacing w:line="440" w:lineRule="exact"/>
        <w:rPr>
          <w:rFonts w:ascii="宋体" w:hAnsi="宋体" w:cs="宋体"/>
          <w:sz w:val="24"/>
          <w:highlight w:val="none"/>
        </w:rPr>
      </w:pPr>
      <w:r>
        <w:rPr>
          <w:rFonts w:hint="eastAsia" w:ascii="宋体" w:hAnsi="宋体" w:cs="宋体"/>
          <w:sz w:val="24"/>
          <w:highlight w:val="none"/>
        </w:rPr>
        <w:t>7.1投标人自行安排，费用自理、不集中答疑，图纸在招标人现场查询。</w:t>
      </w:r>
    </w:p>
    <w:p>
      <w:pPr>
        <w:pStyle w:val="4"/>
        <w:shd w:val="clear"/>
        <w:spacing w:before="0" w:after="0" w:line="440" w:lineRule="exact"/>
        <w:rPr>
          <w:rFonts w:cs="宋体"/>
          <w:color w:val="auto"/>
          <w:sz w:val="28"/>
          <w:szCs w:val="28"/>
          <w:highlight w:val="none"/>
        </w:rPr>
      </w:pPr>
      <w:bookmarkStart w:id="18" w:name="_Toc219807846"/>
      <w:r>
        <w:rPr>
          <w:rFonts w:hint="eastAsia" w:cs="宋体"/>
          <w:color w:val="auto"/>
          <w:sz w:val="28"/>
          <w:szCs w:val="28"/>
          <w:highlight w:val="none"/>
        </w:rPr>
        <w:t>二、招标文件</w:t>
      </w:r>
      <w:bookmarkEnd w:id="18"/>
    </w:p>
    <w:p>
      <w:pPr>
        <w:pStyle w:val="5"/>
        <w:shd w:val="clear"/>
        <w:spacing w:before="0" w:after="0" w:line="440" w:lineRule="exact"/>
        <w:rPr>
          <w:rFonts w:cs="宋体"/>
          <w:bCs/>
          <w:sz w:val="24"/>
          <w:szCs w:val="24"/>
          <w:highlight w:val="none"/>
        </w:rPr>
      </w:pPr>
      <w:r>
        <w:rPr>
          <w:rFonts w:hint="eastAsia" w:cs="宋体"/>
          <w:bCs/>
          <w:sz w:val="24"/>
          <w:szCs w:val="24"/>
          <w:highlight w:val="none"/>
        </w:rPr>
        <w:t>8、招标文件内容</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8.1本招标文件包括下列文件及按规定发出的修改通知书：</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第一章　招标公告</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第二章　投标人须知</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第三章　合同主要条款</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第四章　投标文件格式</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第五章　安装施工及验收规范</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第六章  项目工程量清单</w:t>
      </w:r>
    </w:p>
    <w:p>
      <w:pPr>
        <w:pStyle w:val="5"/>
        <w:shd w:val="clear"/>
        <w:spacing w:before="0" w:after="0" w:line="440" w:lineRule="exact"/>
        <w:rPr>
          <w:rFonts w:cs="宋体"/>
          <w:bCs/>
          <w:sz w:val="24"/>
          <w:szCs w:val="24"/>
          <w:highlight w:val="none"/>
        </w:rPr>
      </w:pPr>
      <w:r>
        <w:rPr>
          <w:rFonts w:hint="eastAsia" w:cs="宋体"/>
          <w:bCs/>
          <w:sz w:val="24"/>
          <w:szCs w:val="24"/>
          <w:highlight w:val="none"/>
        </w:rPr>
        <w:t>9、招标文件澄清</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9.1 任何要求对招标文件进行澄清的投标人应在招标文件规定的时间以书面形式提交给招标代理机构。招标代理机构应以书面形式予以答复，同时将该答复提供给每个购买招标文件的投标人（答复中不标明问题的来源）。</w:t>
      </w:r>
    </w:p>
    <w:p>
      <w:pPr>
        <w:pStyle w:val="5"/>
        <w:shd w:val="clear"/>
        <w:spacing w:before="0" w:after="0" w:line="440" w:lineRule="exact"/>
        <w:rPr>
          <w:rFonts w:cs="宋体"/>
          <w:bCs/>
          <w:sz w:val="24"/>
          <w:szCs w:val="24"/>
          <w:highlight w:val="none"/>
        </w:rPr>
      </w:pPr>
      <w:r>
        <w:rPr>
          <w:rFonts w:hint="eastAsia" w:cs="宋体"/>
          <w:bCs/>
          <w:sz w:val="24"/>
          <w:szCs w:val="24"/>
          <w:highlight w:val="none"/>
        </w:rPr>
        <w:t>10、招标文件修改</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10.1 在投标截止期前，无论出于何种原因，招标人和招标代理机构可以用修改通知书的方式修改招标文件。</w:t>
      </w:r>
    </w:p>
    <w:p>
      <w:pPr>
        <w:shd w:val="clear"/>
        <w:spacing w:line="440" w:lineRule="exact"/>
        <w:ind w:left="-2" w:leftChars="-1"/>
        <w:rPr>
          <w:rFonts w:ascii="宋体" w:hAnsi="宋体" w:cs="宋体"/>
          <w:sz w:val="24"/>
          <w:szCs w:val="24"/>
          <w:highlight w:val="none"/>
        </w:rPr>
      </w:pPr>
      <w:r>
        <w:rPr>
          <w:rFonts w:hint="eastAsia" w:ascii="宋体" w:hAnsi="宋体" w:cs="宋体"/>
          <w:sz w:val="24"/>
          <w:szCs w:val="24"/>
          <w:highlight w:val="none"/>
        </w:rPr>
        <w:t>10.2 据此发出的修改通知书将构成招标文件的一部分，当两者内容不一致时，以后发的修改通知书为准。该修改通知书将以书面方式发给所有购买招标文件的投标人，投标人应以书面方式通知招标代理机构确认收到每一份修改通知书。</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10.3为使投标人准备投标时有充分时间对招标文件的修改部分进行研究，招标人和招标代理机构可自行决定推迟投标截止时间。</w:t>
      </w:r>
    </w:p>
    <w:p>
      <w:pPr>
        <w:shd w:val="clear"/>
        <w:spacing w:line="360" w:lineRule="auto"/>
        <w:ind w:left="-2" w:leftChars="-1"/>
        <w:rPr>
          <w:rFonts w:ascii="宋体" w:hAnsi="宋体" w:cs="宋体"/>
          <w:sz w:val="24"/>
          <w:szCs w:val="24"/>
          <w:highlight w:val="none"/>
        </w:rPr>
      </w:pPr>
      <w:r>
        <w:rPr>
          <w:rFonts w:hint="eastAsia" w:ascii="宋体" w:hAnsi="宋体" w:cs="宋体"/>
          <w:sz w:val="24"/>
          <w:szCs w:val="24"/>
          <w:highlight w:val="none"/>
        </w:rPr>
        <w:t>10.4异议与答复</w:t>
      </w:r>
    </w:p>
    <w:p>
      <w:pPr>
        <w:shd w:val="clear"/>
        <w:spacing w:line="360" w:lineRule="auto"/>
        <w:rPr>
          <w:rFonts w:ascii="宋体" w:hAnsi="宋体" w:cs="宋体"/>
          <w:sz w:val="24"/>
          <w:szCs w:val="24"/>
          <w:highlight w:val="none"/>
        </w:rPr>
      </w:pPr>
      <w:r>
        <w:rPr>
          <w:rFonts w:hint="eastAsia" w:ascii="宋体" w:hAnsi="宋体" w:cs="宋体"/>
          <w:sz w:val="24"/>
          <w:szCs w:val="24"/>
          <w:highlight w:val="none"/>
        </w:rPr>
        <w:t>潜在投标人或者其他利害关系人对招标文件有异议的，应当在投标截止时间10日前以书面形式（由法定代表人或其授权代理人签署并加盖单位公章）提出。招标人应当自收到异议之日起3日内作出答复。</w:t>
      </w:r>
    </w:p>
    <w:p>
      <w:pPr>
        <w:pStyle w:val="4"/>
        <w:shd w:val="clear"/>
        <w:spacing w:before="0" w:after="0" w:line="440" w:lineRule="exact"/>
        <w:rPr>
          <w:rFonts w:cs="宋体"/>
          <w:color w:val="auto"/>
          <w:sz w:val="28"/>
          <w:szCs w:val="28"/>
          <w:highlight w:val="none"/>
        </w:rPr>
      </w:pPr>
      <w:bookmarkStart w:id="19" w:name="_Toc219807847"/>
      <w:r>
        <w:rPr>
          <w:rFonts w:hint="eastAsia" w:cs="宋体"/>
          <w:color w:val="auto"/>
          <w:sz w:val="28"/>
          <w:szCs w:val="28"/>
          <w:highlight w:val="none"/>
        </w:rPr>
        <w:t>三、投标文件编制</w:t>
      </w:r>
      <w:bookmarkEnd w:id="19"/>
    </w:p>
    <w:p>
      <w:pPr>
        <w:keepNext/>
        <w:keepLines/>
        <w:shd w:val="clear"/>
        <w:spacing w:line="440" w:lineRule="exact"/>
        <w:rPr>
          <w:rFonts w:ascii="宋体" w:hAnsi="宋体" w:cs="宋体"/>
          <w:bCs/>
          <w:sz w:val="24"/>
          <w:szCs w:val="24"/>
          <w:highlight w:val="none"/>
        </w:rPr>
      </w:pPr>
      <w:r>
        <w:rPr>
          <w:rFonts w:hint="eastAsia" w:ascii="宋体" w:hAnsi="宋体" w:cs="宋体"/>
          <w:bCs/>
          <w:sz w:val="24"/>
          <w:szCs w:val="24"/>
          <w:highlight w:val="none"/>
        </w:rPr>
        <w:t>提示：投标人应认真阅读招标文件的全部内容，不按招标文件要求提供的投标文件和资料，可能导致其投标做无效标处理。</w:t>
      </w:r>
    </w:p>
    <w:p>
      <w:pPr>
        <w:pStyle w:val="5"/>
        <w:shd w:val="clear"/>
        <w:spacing w:before="0" w:after="0" w:line="440" w:lineRule="exact"/>
        <w:rPr>
          <w:rFonts w:cs="宋体"/>
          <w:bCs/>
          <w:sz w:val="24"/>
          <w:szCs w:val="24"/>
          <w:highlight w:val="none"/>
        </w:rPr>
      </w:pPr>
      <w:r>
        <w:rPr>
          <w:rFonts w:hint="eastAsia" w:cs="宋体"/>
          <w:bCs/>
          <w:sz w:val="24"/>
          <w:szCs w:val="24"/>
          <w:highlight w:val="none"/>
        </w:rPr>
        <w:t>11、投标文件语言及计量单位</w:t>
      </w:r>
    </w:p>
    <w:p>
      <w:pPr>
        <w:shd w:val="clear"/>
        <w:spacing w:line="440" w:lineRule="exact"/>
        <w:ind w:left="629" w:hanging="628" w:hangingChars="262"/>
        <w:rPr>
          <w:rFonts w:ascii="宋体" w:hAnsi="宋体" w:cs="宋体"/>
          <w:sz w:val="24"/>
          <w:highlight w:val="none"/>
        </w:rPr>
      </w:pPr>
      <w:r>
        <w:rPr>
          <w:rFonts w:hint="eastAsia" w:ascii="宋体" w:hAnsi="宋体" w:cs="宋体"/>
          <w:sz w:val="24"/>
          <w:highlight w:val="none"/>
        </w:rPr>
        <w:t>11.1投标语言：中文。</w:t>
      </w:r>
    </w:p>
    <w:p>
      <w:pPr>
        <w:shd w:val="clear"/>
        <w:spacing w:line="440" w:lineRule="exact"/>
        <w:ind w:left="629" w:hanging="628" w:hangingChars="262"/>
        <w:rPr>
          <w:rFonts w:ascii="宋体" w:hAnsi="宋体" w:cs="宋体"/>
          <w:sz w:val="24"/>
          <w:highlight w:val="none"/>
        </w:rPr>
      </w:pPr>
      <w:r>
        <w:rPr>
          <w:rFonts w:hint="eastAsia" w:ascii="宋体" w:hAnsi="宋体" w:cs="宋体"/>
          <w:sz w:val="24"/>
          <w:highlight w:val="none"/>
        </w:rPr>
        <w:t>11.2与投标有关的所有文件所用的计量单位应是中华人民共和国法定计量单位。</w:t>
      </w:r>
    </w:p>
    <w:p>
      <w:pPr>
        <w:pStyle w:val="5"/>
        <w:shd w:val="clear"/>
        <w:spacing w:before="0" w:after="0" w:line="440" w:lineRule="exact"/>
        <w:rPr>
          <w:rFonts w:cs="宋体"/>
          <w:bCs/>
          <w:sz w:val="24"/>
          <w:szCs w:val="24"/>
          <w:highlight w:val="none"/>
        </w:rPr>
      </w:pPr>
      <w:r>
        <w:rPr>
          <w:rFonts w:hint="eastAsia" w:cs="宋体"/>
          <w:bCs/>
          <w:sz w:val="24"/>
          <w:szCs w:val="24"/>
          <w:highlight w:val="none"/>
        </w:rPr>
        <w:t>12、投标文件构成</w:t>
      </w:r>
    </w:p>
    <w:p>
      <w:pPr>
        <w:shd w:val="clear"/>
        <w:spacing w:line="440" w:lineRule="exact"/>
        <w:rPr>
          <w:rFonts w:ascii="宋体" w:hAnsi="宋体" w:cs="宋体"/>
          <w:sz w:val="24"/>
          <w:highlight w:val="none"/>
        </w:rPr>
      </w:pPr>
      <w:r>
        <w:rPr>
          <w:rFonts w:hint="eastAsia" w:ascii="宋体" w:hAnsi="宋体" w:cs="宋体"/>
          <w:sz w:val="24"/>
          <w:highlight w:val="none"/>
        </w:rPr>
        <w:t>12.1投标文件应由下列部分构成：</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(1) 投标书</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(2) 投标一览表（用于唱标）</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(3) 投标分项报价表</w:t>
      </w:r>
    </w:p>
    <w:p>
      <w:pPr>
        <w:shd w:val="clear"/>
        <w:spacing w:line="440" w:lineRule="exact"/>
        <w:ind w:firstLine="360" w:firstLineChars="150"/>
        <w:rPr>
          <w:rFonts w:ascii="宋体" w:hAnsi="宋体" w:cs="宋体"/>
          <w:bCs/>
          <w:sz w:val="24"/>
          <w:highlight w:val="none"/>
        </w:rPr>
      </w:pPr>
      <w:r>
        <w:rPr>
          <w:rFonts w:hint="eastAsia" w:ascii="宋体" w:hAnsi="宋体" w:cs="宋体"/>
          <w:bCs/>
          <w:sz w:val="24"/>
          <w:highlight w:val="none"/>
        </w:rPr>
        <w:t>（4）施工工期响应表</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(5) 投标人应提交的其他材料</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(6) 技术规格偏离表</w:t>
      </w:r>
    </w:p>
    <w:p>
      <w:pPr>
        <w:shd w:val="clear"/>
        <w:spacing w:line="440" w:lineRule="exact"/>
        <w:ind w:left="567" w:hanging="85"/>
        <w:rPr>
          <w:rFonts w:ascii="宋体" w:hAnsi="宋体" w:cs="宋体"/>
          <w:sz w:val="24"/>
          <w:highlight w:val="none"/>
        </w:rPr>
      </w:pPr>
      <w:r>
        <w:rPr>
          <w:rFonts w:hint="eastAsia" w:ascii="宋体" w:hAnsi="宋体" w:cs="宋体"/>
          <w:sz w:val="24"/>
          <w:highlight w:val="none"/>
        </w:rPr>
        <w:t>(7)</w:t>
      </w:r>
      <w:r>
        <w:rPr>
          <w:rFonts w:hint="eastAsia" w:ascii="宋体" w:hAnsi="宋体" w:cs="宋体"/>
          <w:highlight w:val="none"/>
        </w:rPr>
        <w:t xml:space="preserve"> </w:t>
      </w:r>
      <w:r>
        <w:rPr>
          <w:rFonts w:hint="eastAsia" w:ascii="宋体" w:hAnsi="宋体" w:cs="宋体"/>
          <w:sz w:val="24"/>
          <w:highlight w:val="none"/>
        </w:rPr>
        <w:t>商务条款偏离表</w:t>
      </w:r>
    </w:p>
    <w:p>
      <w:pPr>
        <w:shd w:val="clear"/>
        <w:spacing w:line="440" w:lineRule="exact"/>
        <w:ind w:left="567" w:hanging="85"/>
        <w:rPr>
          <w:rFonts w:ascii="宋体" w:hAnsi="宋体" w:cs="宋体"/>
          <w:sz w:val="24"/>
          <w:highlight w:val="none"/>
        </w:rPr>
      </w:pPr>
      <w:r>
        <w:rPr>
          <w:rFonts w:hint="eastAsia" w:ascii="宋体" w:hAnsi="宋体" w:cs="宋体"/>
          <w:sz w:val="24"/>
          <w:highlight w:val="none"/>
        </w:rPr>
        <w:t>(8) 工程竣工后服务承诺</w:t>
      </w:r>
    </w:p>
    <w:p>
      <w:pPr>
        <w:shd w:val="clear"/>
        <w:spacing w:line="440" w:lineRule="exact"/>
        <w:ind w:left="567" w:hanging="85"/>
        <w:rPr>
          <w:rFonts w:ascii="宋体" w:hAnsi="宋体" w:cs="宋体"/>
          <w:sz w:val="24"/>
          <w:highlight w:val="none"/>
        </w:rPr>
      </w:pPr>
      <w:r>
        <w:rPr>
          <w:rFonts w:hint="eastAsia" w:ascii="宋体" w:hAnsi="宋体" w:cs="宋体"/>
          <w:sz w:val="24"/>
          <w:highlight w:val="none"/>
        </w:rPr>
        <w:t>(9) 资格证明文件</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(10) 施工组织及施工进度设计</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(11) 工程预算书</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(12) 联合体协议书</w:t>
      </w:r>
    </w:p>
    <w:p>
      <w:pPr>
        <w:pStyle w:val="5"/>
        <w:shd w:val="clear"/>
        <w:spacing w:before="0" w:after="0" w:line="440" w:lineRule="exact"/>
        <w:rPr>
          <w:rFonts w:cs="宋体"/>
          <w:bCs/>
          <w:sz w:val="24"/>
          <w:szCs w:val="24"/>
          <w:highlight w:val="none"/>
        </w:rPr>
      </w:pPr>
      <w:r>
        <w:rPr>
          <w:rFonts w:hint="eastAsia" w:cs="宋体"/>
          <w:bCs/>
          <w:sz w:val="24"/>
          <w:szCs w:val="24"/>
          <w:highlight w:val="none"/>
        </w:rPr>
        <w:t>13、证明投标人合格和资格的文件</w:t>
      </w:r>
    </w:p>
    <w:p>
      <w:pPr>
        <w:shd w:val="clear"/>
        <w:spacing w:line="440" w:lineRule="exact"/>
        <w:ind w:left="454" w:hanging="454"/>
        <w:rPr>
          <w:rFonts w:ascii="宋体" w:hAnsi="宋体" w:cs="宋体"/>
          <w:sz w:val="24"/>
          <w:highlight w:val="none"/>
        </w:rPr>
      </w:pPr>
      <w:r>
        <w:rPr>
          <w:rFonts w:hint="eastAsia" w:ascii="宋体" w:hAnsi="宋体" w:cs="宋体"/>
          <w:sz w:val="24"/>
          <w:highlight w:val="none"/>
        </w:rPr>
        <w:t>13.1投标人应提供证明其合格和资格的证明文件。</w:t>
      </w:r>
    </w:p>
    <w:p>
      <w:pPr>
        <w:pStyle w:val="5"/>
        <w:shd w:val="clear"/>
        <w:spacing w:before="0" w:after="0" w:line="440" w:lineRule="exact"/>
        <w:rPr>
          <w:rFonts w:cs="宋体"/>
          <w:bCs/>
          <w:sz w:val="24"/>
          <w:szCs w:val="24"/>
          <w:highlight w:val="none"/>
        </w:rPr>
      </w:pPr>
      <w:r>
        <w:rPr>
          <w:rFonts w:hint="eastAsia" w:cs="宋体"/>
          <w:bCs/>
          <w:sz w:val="24"/>
          <w:szCs w:val="24"/>
          <w:highlight w:val="none"/>
        </w:rPr>
        <w:t>14、施工质量及保修</w:t>
      </w:r>
    </w:p>
    <w:p>
      <w:pPr>
        <w:shd w:val="clear"/>
        <w:spacing w:line="440" w:lineRule="exact"/>
        <w:rPr>
          <w:rFonts w:ascii="宋体" w:hAnsi="宋体" w:cs="宋体"/>
          <w:sz w:val="24"/>
          <w:highlight w:val="none"/>
        </w:rPr>
      </w:pPr>
      <w:r>
        <w:rPr>
          <w:rFonts w:hint="eastAsia" w:ascii="宋体" w:hAnsi="宋体" w:cs="宋体"/>
          <w:sz w:val="24"/>
          <w:highlight w:val="none"/>
        </w:rPr>
        <w:t>14.1投标人应注明参加工程施工人员（特别是项目经理、起重工、钳工、管工、焊工、电气、仪表技术人员施工人员等）的学历、取得的证书等级、施工经验及相应项目施工人数等；投标人若中标后，招标方将对参加施工的钳工、管工、焊工、电气仪表技术人员进行进场资格审查，审查合格方可进入工地施工。施工过程若发现施工人员资质与实际能力和技能不相符时，招标方有权要求中标方无条件调换人员。</w:t>
      </w:r>
    </w:p>
    <w:p>
      <w:pPr>
        <w:shd w:val="clear"/>
        <w:spacing w:line="440" w:lineRule="exact"/>
        <w:rPr>
          <w:rFonts w:ascii="宋体" w:hAnsi="宋体" w:cs="宋体"/>
          <w:sz w:val="24"/>
          <w:highlight w:val="none"/>
        </w:rPr>
      </w:pPr>
      <w:r>
        <w:rPr>
          <w:rFonts w:hint="eastAsia" w:ascii="宋体" w:hAnsi="宋体" w:cs="宋体"/>
          <w:sz w:val="24"/>
          <w:highlight w:val="none"/>
        </w:rPr>
        <w:t>14.2本工程的施工组织：投标文件中应有详细的施工进度计划、组织、人员、工期、安全等方案。</w:t>
      </w:r>
    </w:p>
    <w:p>
      <w:pPr>
        <w:shd w:val="clear"/>
        <w:spacing w:line="440" w:lineRule="exact"/>
        <w:rPr>
          <w:rFonts w:ascii="宋体" w:hAnsi="宋体" w:cs="宋体"/>
          <w:sz w:val="24"/>
          <w:highlight w:val="none"/>
        </w:rPr>
      </w:pPr>
      <w:r>
        <w:rPr>
          <w:rFonts w:hint="eastAsia" w:ascii="宋体" w:hAnsi="宋体" w:cs="宋体"/>
          <w:sz w:val="24"/>
          <w:highlight w:val="none"/>
        </w:rPr>
        <w:t>14.3施工安装用水、用电由承包方装表计量，水电费按当地标准向承包方收取由招标方提供用电用水接驳点；用气等消耗材料及食宿费用由中标方自理。本工程不得转包，否则招标方有权单方面终止合同并追究中标方违约责任，中标方承担由此造成的全部损失。</w:t>
      </w:r>
    </w:p>
    <w:p>
      <w:pPr>
        <w:shd w:val="clear"/>
        <w:spacing w:line="440" w:lineRule="exact"/>
        <w:rPr>
          <w:rFonts w:ascii="宋体" w:hAnsi="宋体" w:cs="宋体"/>
          <w:sz w:val="24"/>
          <w:highlight w:val="none"/>
        </w:rPr>
      </w:pPr>
      <w:r>
        <w:rPr>
          <w:rFonts w:hint="eastAsia" w:ascii="宋体" w:hAnsi="宋体" w:cs="宋体"/>
          <w:sz w:val="24"/>
          <w:highlight w:val="none"/>
        </w:rPr>
        <w:t>14.4工程验收：招标方、中标方、外方（设备供货方）以及招标方聘请的有关机构，按合同技术要求、安装施工及验收规范、相关设备质量标准、国家标准、部颁标准及行业标准执行（就高不就低）。</w:t>
      </w:r>
    </w:p>
    <w:p>
      <w:pPr>
        <w:shd w:val="clear"/>
        <w:spacing w:line="440" w:lineRule="exact"/>
        <w:rPr>
          <w:rFonts w:ascii="宋体" w:hAnsi="宋体" w:cs="宋体"/>
          <w:sz w:val="18"/>
          <w:szCs w:val="18"/>
          <w:highlight w:val="none"/>
        </w:rPr>
      </w:pPr>
      <w:r>
        <w:rPr>
          <w:rFonts w:hint="eastAsia" w:ascii="宋体" w:hAnsi="宋体" w:cs="宋体"/>
          <w:sz w:val="24"/>
          <w:highlight w:val="none"/>
        </w:rPr>
        <w:t>14.5保修期：</w:t>
      </w:r>
      <w:r>
        <w:rPr>
          <w:rFonts w:hint="eastAsia" w:ascii="宋体" w:hAnsi="宋体"/>
          <w:sz w:val="24"/>
          <w:highlight w:val="none"/>
        </w:rPr>
        <w:t>保修期为自生产线联动负荷试车验收合格之日起一年。</w:t>
      </w:r>
    </w:p>
    <w:p>
      <w:pPr>
        <w:shd w:val="clear"/>
        <w:spacing w:line="440" w:lineRule="exact"/>
        <w:rPr>
          <w:rFonts w:ascii="宋体" w:hAnsi="宋体" w:cs="宋体"/>
          <w:sz w:val="24"/>
          <w:highlight w:val="none"/>
        </w:rPr>
      </w:pPr>
      <w:r>
        <w:rPr>
          <w:rFonts w:hint="eastAsia" w:ascii="宋体" w:hAnsi="宋体" w:cs="宋体"/>
          <w:sz w:val="24"/>
          <w:highlight w:val="none"/>
        </w:rPr>
        <w:t>14.6主要介绍企业的经营规模，技术装备，人力资源等。</w:t>
      </w:r>
    </w:p>
    <w:p>
      <w:pPr>
        <w:shd w:val="clear"/>
        <w:spacing w:line="440" w:lineRule="exact"/>
        <w:rPr>
          <w:rFonts w:ascii="宋体" w:hAnsi="宋体" w:cs="宋体"/>
          <w:sz w:val="24"/>
          <w:highlight w:val="none"/>
        </w:rPr>
      </w:pPr>
      <w:r>
        <w:rPr>
          <w:rFonts w:hint="eastAsia" w:ascii="宋体" w:hAnsi="宋体" w:cs="宋体"/>
          <w:sz w:val="24"/>
          <w:highlight w:val="none"/>
        </w:rPr>
        <w:t>14.7施工方案、工程预算书：主要介绍本工程分项项目施工顺序上的指导思想、组织架构、施工方案、人员安排计划、计划工期、安全保障以及工程预算等。</w:t>
      </w:r>
    </w:p>
    <w:p>
      <w:pPr>
        <w:shd w:val="clear"/>
        <w:spacing w:line="440" w:lineRule="exact"/>
        <w:rPr>
          <w:rFonts w:ascii="宋体" w:hAnsi="宋体" w:cs="宋体"/>
          <w:sz w:val="24"/>
          <w:highlight w:val="none"/>
        </w:rPr>
      </w:pPr>
      <w:r>
        <w:rPr>
          <w:rFonts w:hint="eastAsia" w:ascii="宋体" w:hAnsi="宋体" w:cs="宋体"/>
          <w:sz w:val="24"/>
          <w:highlight w:val="none"/>
        </w:rPr>
        <w:t>14.8施工工期：计划开工时间，招标人有权根据土建进展情况决定中标方提前进场的时间。</w:t>
      </w:r>
    </w:p>
    <w:p>
      <w:pPr>
        <w:shd w:val="clear"/>
        <w:spacing w:line="440" w:lineRule="exact"/>
        <w:rPr>
          <w:rFonts w:ascii="宋体" w:hAnsi="宋体" w:cs="宋体"/>
          <w:sz w:val="24"/>
          <w:highlight w:val="none"/>
        </w:rPr>
      </w:pPr>
      <w:r>
        <w:rPr>
          <w:rFonts w:hint="eastAsia" w:ascii="宋体" w:hAnsi="宋体" w:cs="宋体"/>
          <w:sz w:val="24"/>
          <w:highlight w:val="none"/>
        </w:rPr>
        <w:t>14.9质量、服务承诺：投标人应对施工质量、技术服务等做出具体承诺。</w:t>
      </w:r>
    </w:p>
    <w:p>
      <w:pPr>
        <w:pStyle w:val="5"/>
        <w:shd w:val="clear"/>
        <w:spacing w:before="0" w:after="0" w:line="440" w:lineRule="exact"/>
        <w:rPr>
          <w:rFonts w:cs="宋体"/>
          <w:bCs/>
          <w:sz w:val="24"/>
          <w:szCs w:val="24"/>
          <w:highlight w:val="none"/>
        </w:rPr>
      </w:pPr>
      <w:r>
        <w:rPr>
          <w:rFonts w:hint="eastAsia" w:cs="宋体"/>
          <w:bCs/>
          <w:sz w:val="24"/>
          <w:szCs w:val="24"/>
          <w:highlight w:val="none"/>
        </w:rPr>
        <w:t>15、投标报价</w:t>
      </w:r>
    </w:p>
    <w:p>
      <w:pPr>
        <w:shd w:val="clear"/>
        <w:spacing w:line="440" w:lineRule="exact"/>
        <w:rPr>
          <w:rFonts w:ascii="宋体" w:hAnsi="宋体" w:cs="宋体"/>
          <w:sz w:val="24"/>
          <w:highlight w:val="none"/>
        </w:rPr>
      </w:pPr>
      <w:r>
        <w:rPr>
          <w:rFonts w:hint="eastAsia" w:ascii="宋体" w:hAnsi="宋体" w:cs="宋体"/>
          <w:sz w:val="24"/>
          <w:highlight w:val="none"/>
        </w:rPr>
        <w:t>15.1投标报价应包括招标文件、投标文件及图纸所注明的全部内容以及为完成上述内容所必须的全部安装费用（含税金）。</w:t>
      </w:r>
    </w:p>
    <w:p>
      <w:pPr>
        <w:shd w:val="clear"/>
        <w:spacing w:line="440" w:lineRule="exact"/>
        <w:rPr>
          <w:rFonts w:ascii="宋体" w:hAnsi="宋体" w:cs="宋体"/>
          <w:sz w:val="24"/>
          <w:highlight w:val="none"/>
        </w:rPr>
      </w:pPr>
      <w:r>
        <w:rPr>
          <w:rFonts w:hint="eastAsia" w:ascii="宋体" w:hAnsi="宋体" w:cs="宋体"/>
          <w:sz w:val="24"/>
          <w:highlight w:val="none"/>
        </w:rPr>
        <w:t>15.2各投标人投标时提交的工程预算书必须提供详细计算公式，以便招标方核对。</w:t>
      </w:r>
    </w:p>
    <w:p>
      <w:pPr>
        <w:shd w:val="clear"/>
        <w:spacing w:line="440" w:lineRule="exact"/>
        <w:rPr>
          <w:rFonts w:ascii="宋体" w:hAnsi="宋体" w:cs="宋体"/>
          <w:sz w:val="24"/>
          <w:highlight w:val="none"/>
        </w:rPr>
      </w:pPr>
      <w:r>
        <w:rPr>
          <w:rFonts w:hint="eastAsia" w:ascii="宋体" w:hAnsi="宋体" w:cs="宋体"/>
          <w:sz w:val="24"/>
          <w:highlight w:val="none"/>
        </w:rPr>
        <w:t xml:space="preserve">15.3当同一投标人的投标报价和工程预算书的总价不一致时，投标人应说明原因。 </w:t>
      </w:r>
    </w:p>
    <w:p>
      <w:pPr>
        <w:shd w:val="clear"/>
        <w:spacing w:line="440" w:lineRule="exact"/>
        <w:rPr>
          <w:rFonts w:ascii="宋体" w:hAnsi="宋体" w:cs="宋体"/>
          <w:sz w:val="24"/>
          <w:highlight w:val="none"/>
        </w:rPr>
      </w:pPr>
      <w:r>
        <w:rPr>
          <w:rFonts w:hint="eastAsia" w:ascii="宋体" w:hAnsi="宋体" w:cs="宋体"/>
          <w:sz w:val="24"/>
          <w:highlight w:val="none"/>
        </w:rPr>
        <w:t>15.4投标人的投标报价不得有故意漏项及少报数量等，否则有可能导致废标。</w:t>
      </w:r>
    </w:p>
    <w:p>
      <w:pPr>
        <w:shd w:val="clear"/>
        <w:spacing w:line="440" w:lineRule="exact"/>
        <w:rPr>
          <w:rFonts w:ascii="宋体" w:hAnsi="宋体" w:cs="宋体"/>
          <w:color w:val="000000"/>
          <w:sz w:val="24"/>
          <w:highlight w:val="none"/>
        </w:rPr>
      </w:pPr>
      <w:r>
        <w:rPr>
          <w:rFonts w:hint="eastAsia" w:ascii="宋体" w:hAnsi="宋体" w:cs="宋体"/>
          <w:sz w:val="24"/>
          <w:highlight w:val="none"/>
        </w:rPr>
        <w:t>15.5投标单位应充分考虑施工期间各类材料的市场风险和国家政策调价的风险系数，投标报价一经中标后，价格不作任何调整。</w:t>
      </w:r>
    </w:p>
    <w:p>
      <w:pPr>
        <w:shd w:val="clear"/>
        <w:spacing w:line="440" w:lineRule="exact"/>
        <w:rPr>
          <w:rFonts w:ascii="宋体" w:hAnsi="宋体" w:cs="宋体"/>
          <w:sz w:val="24"/>
          <w:highlight w:val="none"/>
        </w:rPr>
      </w:pPr>
      <w:r>
        <w:rPr>
          <w:rFonts w:hint="eastAsia" w:ascii="宋体" w:hAnsi="宋体" w:cs="宋体"/>
          <w:color w:val="000000"/>
          <w:sz w:val="24"/>
          <w:highlight w:val="none"/>
        </w:rPr>
        <w:t>15.6投标人要按投标一览表（统一格式）内容填写价格及其他</w:t>
      </w:r>
      <w:r>
        <w:rPr>
          <w:rFonts w:hint="eastAsia" w:ascii="宋体" w:hAnsi="宋体" w:cs="宋体"/>
          <w:sz w:val="24"/>
          <w:highlight w:val="none"/>
        </w:rPr>
        <w:t>事项，并由法定代表人或授权代表签署。</w:t>
      </w:r>
    </w:p>
    <w:p>
      <w:pPr>
        <w:shd w:val="clear"/>
        <w:spacing w:line="440" w:lineRule="exact"/>
        <w:rPr>
          <w:rFonts w:ascii="宋体" w:hAnsi="宋体" w:cs="宋体"/>
          <w:sz w:val="24"/>
          <w:highlight w:val="none"/>
        </w:rPr>
      </w:pPr>
      <w:r>
        <w:rPr>
          <w:rFonts w:hint="eastAsia" w:ascii="宋体" w:hAnsi="宋体" w:cs="宋体"/>
          <w:sz w:val="24"/>
          <w:highlight w:val="none"/>
        </w:rPr>
        <w:t>15.7各投标人必须在投标文件中提供完整的安装工程预算书，安装工程预算书由投标人严格按照招标人提供的工程量清单进行编制。综合固定单价包括但不限于以下内容：直接费、其它直接费、间接费、现场经费、临设费、大型机械进退场费、施工交叉作业费、超高作业费、脚手架搭拆费、所有到场设备的卸车、保管费、厂区内设备二次搬运费、各种管理规费、各种行政性收费、各种税费、劳保、利润、各类安全保险、调试费、试运行阶段（不少于三个月）的技术人员驻厂服务费等费用。</w:t>
      </w:r>
    </w:p>
    <w:p>
      <w:pPr>
        <w:shd w:val="clear"/>
        <w:spacing w:line="440" w:lineRule="exact"/>
        <w:rPr>
          <w:rFonts w:ascii="宋体" w:hAnsi="宋体" w:cs="宋体"/>
          <w:sz w:val="24"/>
          <w:highlight w:val="none"/>
        </w:rPr>
      </w:pPr>
      <w:r>
        <w:rPr>
          <w:rFonts w:hint="eastAsia" w:ascii="宋体" w:hAnsi="宋体" w:cs="宋体"/>
          <w:sz w:val="24"/>
          <w:highlight w:val="none"/>
        </w:rPr>
        <w:t>15.8 各投标人的投标报价（综合固定单价）均应充分考虑到以下因素可能带来的影响，并不得因为以下因素影响而调整合同价格：</w:t>
      </w:r>
    </w:p>
    <w:p>
      <w:pPr>
        <w:shd w:val="clear"/>
        <w:spacing w:line="440" w:lineRule="exact"/>
        <w:rPr>
          <w:rFonts w:ascii="宋体" w:hAnsi="宋体" w:cs="宋体"/>
          <w:sz w:val="24"/>
          <w:highlight w:val="none"/>
          <w:lang w:bidi="en-US"/>
        </w:rPr>
      </w:pPr>
      <w:r>
        <w:rPr>
          <w:rFonts w:hint="eastAsia" w:ascii="宋体" w:hAnsi="宋体" w:cs="宋体"/>
          <w:sz w:val="24"/>
          <w:highlight w:val="none"/>
        </w:rPr>
        <w:t>15.8.1</w:t>
      </w:r>
      <w:r>
        <w:rPr>
          <w:rFonts w:hint="eastAsia" w:ascii="宋体" w:hAnsi="宋体" w:cs="宋体"/>
          <w:sz w:val="24"/>
          <w:highlight w:val="none"/>
          <w:lang w:bidi="en-US"/>
        </w:rPr>
        <w:t>土建与安装交叉施工所增加的施工难度；</w:t>
      </w:r>
    </w:p>
    <w:p>
      <w:pPr>
        <w:numPr>
          <w:ilvl w:val="2"/>
          <w:numId w:val="8"/>
        </w:numPr>
        <w:shd w:val="clear"/>
        <w:spacing w:line="440" w:lineRule="exact"/>
        <w:rPr>
          <w:rFonts w:ascii="宋体" w:hAnsi="宋体" w:cs="宋体"/>
          <w:sz w:val="24"/>
          <w:highlight w:val="none"/>
        </w:rPr>
      </w:pPr>
      <w:r>
        <w:rPr>
          <w:rFonts w:hint="eastAsia" w:ascii="宋体" w:hAnsi="宋体" w:cs="宋体"/>
          <w:sz w:val="24"/>
          <w:highlight w:val="none"/>
        </w:rPr>
        <w:t>各种施工津贴（如夜班费、保健费）；</w:t>
      </w:r>
    </w:p>
    <w:p>
      <w:pPr>
        <w:numPr>
          <w:ilvl w:val="2"/>
          <w:numId w:val="8"/>
        </w:numPr>
        <w:shd w:val="clear"/>
        <w:spacing w:line="440" w:lineRule="exact"/>
        <w:rPr>
          <w:rFonts w:ascii="宋体" w:hAnsi="宋体" w:cs="宋体"/>
          <w:sz w:val="24"/>
          <w:highlight w:val="none"/>
        </w:rPr>
      </w:pPr>
      <w:r>
        <w:rPr>
          <w:rFonts w:hint="eastAsia" w:ascii="宋体" w:hAnsi="宋体" w:cs="宋体"/>
          <w:sz w:val="24"/>
          <w:highlight w:val="none"/>
        </w:rPr>
        <w:t>特殊施工措施费；</w:t>
      </w:r>
    </w:p>
    <w:p>
      <w:pPr>
        <w:numPr>
          <w:ilvl w:val="2"/>
          <w:numId w:val="8"/>
        </w:numPr>
        <w:shd w:val="clear"/>
        <w:spacing w:line="440" w:lineRule="exact"/>
        <w:rPr>
          <w:rFonts w:ascii="宋体" w:hAnsi="宋体" w:cs="宋体"/>
          <w:sz w:val="24"/>
          <w:highlight w:val="none"/>
        </w:rPr>
      </w:pPr>
      <w:r>
        <w:rPr>
          <w:rFonts w:hint="eastAsia" w:ascii="宋体" w:hAnsi="宋体" w:cs="宋体"/>
          <w:sz w:val="24"/>
          <w:highlight w:val="none"/>
        </w:rPr>
        <w:t>正常安全措施费；</w:t>
      </w:r>
    </w:p>
    <w:p>
      <w:pPr>
        <w:numPr>
          <w:ilvl w:val="2"/>
          <w:numId w:val="8"/>
        </w:numPr>
        <w:shd w:val="clear"/>
        <w:spacing w:line="440" w:lineRule="exact"/>
        <w:rPr>
          <w:rFonts w:ascii="宋体" w:hAnsi="宋体" w:cs="宋体"/>
          <w:sz w:val="24"/>
          <w:highlight w:val="none"/>
        </w:rPr>
      </w:pPr>
      <w:r>
        <w:rPr>
          <w:rFonts w:hint="eastAsia" w:ascii="宋体" w:hAnsi="宋体" w:cs="宋体"/>
          <w:sz w:val="24"/>
          <w:highlight w:val="none"/>
        </w:rPr>
        <w:t>大型机械进、退场费、基础费；</w:t>
      </w:r>
    </w:p>
    <w:p>
      <w:pPr>
        <w:numPr>
          <w:ilvl w:val="2"/>
          <w:numId w:val="8"/>
        </w:numPr>
        <w:shd w:val="clear"/>
        <w:spacing w:line="440" w:lineRule="exact"/>
        <w:rPr>
          <w:rFonts w:ascii="宋体" w:hAnsi="宋体" w:cs="宋体"/>
          <w:sz w:val="24"/>
          <w:highlight w:val="none"/>
        </w:rPr>
      </w:pPr>
      <w:r>
        <w:rPr>
          <w:rFonts w:hint="eastAsia" w:ascii="宋体" w:hAnsi="宋体" w:cs="宋体"/>
          <w:sz w:val="24"/>
          <w:highlight w:val="none"/>
        </w:rPr>
        <w:t>国家规定的政策性调差等；</w:t>
      </w:r>
    </w:p>
    <w:p>
      <w:pPr>
        <w:numPr>
          <w:ilvl w:val="2"/>
          <w:numId w:val="8"/>
        </w:numPr>
        <w:shd w:val="clear"/>
        <w:spacing w:line="440" w:lineRule="exact"/>
        <w:rPr>
          <w:rFonts w:ascii="宋体" w:hAnsi="宋体" w:cs="宋体"/>
          <w:sz w:val="24"/>
          <w:highlight w:val="none"/>
        </w:rPr>
      </w:pPr>
      <w:r>
        <w:rPr>
          <w:rFonts w:hint="eastAsia" w:ascii="宋体" w:hAnsi="宋体" w:cs="宋体"/>
          <w:sz w:val="24"/>
          <w:highlight w:val="none"/>
        </w:rPr>
        <w:t>远地施工增加费；</w:t>
      </w:r>
    </w:p>
    <w:p>
      <w:pPr>
        <w:numPr>
          <w:ilvl w:val="2"/>
          <w:numId w:val="8"/>
        </w:numPr>
        <w:shd w:val="clear"/>
        <w:spacing w:line="440" w:lineRule="exact"/>
        <w:rPr>
          <w:rFonts w:ascii="宋体" w:hAnsi="宋体" w:cs="宋体"/>
          <w:sz w:val="24"/>
          <w:highlight w:val="none"/>
        </w:rPr>
      </w:pPr>
      <w:r>
        <w:rPr>
          <w:rFonts w:hint="eastAsia" w:ascii="宋体" w:hAnsi="宋体" w:cs="宋体"/>
          <w:sz w:val="24"/>
          <w:highlight w:val="none"/>
        </w:rPr>
        <w:t>设备延期交付等种种原因造成的现场窝工费；</w:t>
      </w:r>
    </w:p>
    <w:p>
      <w:pPr>
        <w:numPr>
          <w:ilvl w:val="2"/>
          <w:numId w:val="8"/>
        </w:numPr>
        <w:shd w:val="clear"/>
        <w:spacing w:line="440" w:lineRule="exact"/>
        <w:rPr>
          <w:rFonts w:ascii="宋体" w:hAnsi="宋体" w:cs="宋体"/>
          <w:sz w:val="24"/>
          <w:highlight w:val="none"/>
        </w:rPr>
      </w:pPr>
      <w:r>
        <w:rPr>
          <w:rFonts w:hint="eastAsia" w:ascii="宋体" w:hAnsi="宋体" w:cs="宋体"/>
          <w:sz w:val="24"/>
          <w:highlight w:val="none"/>
        </w:rPr>
        <w:t>安装现场清理费；</w:t>
      </w:r>
    </w:p>
    <w:p>
      <w:pPr>
        <w:numPr>
          <w:ilvl w:val="2"/>
          <w:numId w:val="8"/>
        </w:numPr>
        <w:shd w:val="clear"/>
        <w:spacing w:line="440" w:lineRule="exact"/>
        <w:ind w:left="0" w:firstLine="0"/>
        <w:rPr>
          <w:rFonts w:ascii="宋体" w:hAnsi="宋体" w:cs="宋体"/>
          <w:sz w:val="24"/>
          <w:highlight w:val="none"/>
        </w:rPr>
      </w:pPr>
      <w:r>
        <w:rPr>
          <w:rFonts w:hint="eastAsia" w:ascii="宋体" w:hAnsi="宋体" w:cs="宋体"/>
          <w:sz w:val="24"/>
          <w:highlight w:val="none"/>
        </w:rPr>
        <w:t>安装所需的专用工具费、胎具制作费；</w:t>
      </w:r>
    </w:p>
    <w:p>
      <w:pPr>
        <w:numPr>
          <w:ilvl w:val="2"/>
          <w:numId w:val="8"/>
        </w:numPr>
        <w:shd w:val="clear"/>
        <w:spacing w:line="440" w:lineRule="exact"/>
        <w:ind w:left="0" w:firstLine="0"/>
        <w:rPr>
          <w:rFonts w:ascii="宋体" w:hAnsi="宋体" w:cs="宋体"/>
          <w:sz w:val="24"/>
          <w:highlight w:val="none"/>
        </w:rPr>
      </w:pPr>
      <w:r>
        <w:rPr>
          <w:rFonts w:hint="eastAsia" w:ascii="宋体" w:hAnsi="宋体" w:cs="宋体"/>
          <w:sz w:val="24"/>
          <w:highlight w:val="none"/>
        </w:rPr>
        <w:t>临时组对平台搭拆费；</w:t>
      </w:r>
    </w:p>
    <w:p>
      <w:pPr>
        <w:numPr>
          <w:ilvl w:val="2"/>
          <w:numId w:val="8"/>
        </w:numPr>
        <w:shd w:val="clear"/>
        <w:spacing w:line="440" w:lineRule="exact"/>
        <w:ind w:left="0" w:firstLine="0"/>
        <w:rPr>
          <w:rFonts w:ascii="宋体" w:hAnsi="宋体" w:cs="宋体"/>
          <w:sz w:val="24"/>
          <w:highlight w:val="none"/>
        </w:rPr>
      </w:pPr>
      <w:r>
        <w:rPr>
          <w:rFonts w:hint="eastAsia" w:ascii="宋体" w:hAnsi="宋体" w:cs="宋体"/>
          <w:sz w:val="24"/>
          <w:highlight w:val="none"/>
        </w:rPr>
        <w:t>施工机械台班中发生的养路费、公路运输管理费、保险费和车辆使用等费用；</w:t>
      </w:r>
    </w:p>
    <w:p>
      <w:pPr>
        <w:numPr>
          <w:ilvl w:val="2"/>
          <w:numId w:val="8"/>
        </w:numPr>
        <w:shd w:val="clear"/>
        <w:spacing w:line="440" w:lineRule="exact"/>
        <w:ind w:left="0" w:firstLine="0"/>
        <w:rPr>
          <w:rFonts w:ascii="宋体" w:hAnsi="宋体" w:cs="宋体"/>
          <w:sz w:val="24"/>
          <w:highlight w:val="none"/>
        </w:rPr>
      </w:pPr>
      <w:r>
        <w:rPr>
          <w:rFonts w:hint="eastAsia" w:ascii="宋体" w:hAnsi="宋体" w:cs="宋体"/>
          <w:sz w:val="24"/>
          <w:highlight w:val="none"/>
        </w:rPr>
        <w:t>劳保统筹费用；</w:t>
      </w:r>
    </w:p>
    <w:p>
      <w:pPr>
        <w:numPr>
          <w:ilvl w:val="2"/>
          <w:numId w:val="8"/>
        </w:numPr>
        <w:shd w:val="clear"/>
        <w:spacing w:line="440" w:lineRule="exact"/>
        <w:ind w:left="0" w:firstLine="0"/>
        <w:rPr>
          <w:rFonts w:ascii="宋体" w:hAnsi="宋体" w:cs="宋体"/>
          <w:sz w:val="24"/>
          <w:highlight w:val="none"/>
        </w:rPr>
      </w:pPr>
      <w:r>
        <w:rPr>
          <w:rFonts w:hint="eastAsia" w:ascii="宋体" w:hAnsi="宋体" w:cs="宋体"/>
          <w:sz w:val="24"/>
          <w:highlight w:val="none"/>
        </w:rPr>
        <w:t>大型施工机械的拆装发生的一切费用；</w:t>
      </w:r>
    </w:p>
    <w:p>
      <w:pPr>
        <w:numPr>
          <w:ilvl w:val="2"/>
          <w:numId w:val="8"/>
        </w:numPr>
        <w:shd w:val="clear"/>
        <w:spacing w:line="440" w:lineRule="exact"/>
        <w:ind w:left="0" w:firstLine="0"/>
        <w:rPr>
          <w:rFonts w:ascii="宋体" w:hAnsi="宋体" w:cs="宋体"/>
          <w:sz w:val="24"/>
          <w:highlight w:val="none"/>
        </w:rPr>
      </w:pPr>
      <w:r>
        <w:rPr>
          <w:rFonts w:hint="eastAsia" w:ascii="宋体" w:hAnsi="宋体" w:cs="宋体"/>
          <w:sz w:val="24"/>
          <w:highlight w:val="none"/>
        </w:rPr>
        <w:t>采取必要措施，杜绝跑冒滴漏所发生的费用；</w:t>
      </w:r>
    </w:p>
    <w:p>
      <w:pPr>
        <w:numPr>
          <w:ilvl w:val="2"/>
          <w:numId w:val="8"/>
        </w:numPr>
        <w:shd w:val="clear"/>
        <w:spacing w:line="440" w:lineRule="exact"/>
        <w:ind w:left="0" w:firstLine="0"/>
        <w:rPr>
          <w:rFonts w:ascii="宋体" w:hAnsi="宋体" w:cs="宋体"/>
          <w:sz w:val="24"/>
          <w:highlight w:val="none"/>
        </w:rPr>
      </w:pPr>
      <w:r>
        <w:rPr>
          <w:rFonts w:hint="eastAsia" w:ascii="宋体" w:hAnsi="宋体" w:cs="宋体"/>
          <w:sz w:val="24"/>
          <w:highlight w:val="none"/>
        </w:rPr>
        <w:t>工程分包合同在国内的所有税金；</w:t>
      </w:r>
    </w:p>
    <w:p>
      <w:pPr>
        <w:numPr>
          <w:ilvl w:val="2"/>
          <w:numId w:val="8"/>
        </w:numPr>
        <w:shd w:val="clear"/>
        <w:spacing w:line="440" w:lineRule="exact"/>
        <w:ind w:left="0" w:firstLine="0"/>
        <w:rPr>
          <w:rFonts w:ascii="宋体" w:hAnsi="宋体" w:cs="宋体"/>
          <w:sz w:val="24"/>
          <w:highlight w:val="none"/>
        </w:rPr>
      </w:pPr>
      <w:r>
        <w:rPr>
          <w:rFonts w:hint="eastAsia" w:ascii="宋体" w:hAnsi="宋体" w:cs="宋体"/>
          <w:sz w:val="24"/>
          <w:highlight w:val="none"/>
        </w:rPr>
        <w:t>施工现场与正在生产的生产线场地相近，由有害环境引起的降效费；</w:t>
      </w:r>
    </w:p>
    <w:p>
      <w:pPr>
        <w:numPr>
          <w:ilvl w:val="2"/>
          <w:numId w:val="8"/>
        </w:numPr>
        <w:shd w:val="clear"/>
        <w:spacing w:line="440" w:lineRule="exact"/>
        <w:ind w:left="0" w:firstLine="0"/>
        <w:rPr>
          <w:rFonts w:ascii="宋体" w:hAnsi="宋体" w:cs="宋体"/>
          <w:sz w:val="24"/>
          <w:highlight w:val="none"/>
        </w:rPr>
      </w:pPr>
      <w:r>
        <w:rPr>
          <w:rFonts w:hint="eastAsia" w:ascii="宋体" w:hAnsi="宋体" w:cs="宋体"/>
          <w:sz w:val="24"/>
          <w:highlight w:val="none"/>
        </w:rPr>
        <w:t>现场配备2 人以上的保安，满足设备看护的保安费用；</w:t>
      </w:r>
    </w:p>
    <w:p>
      <w:pPr>
        <w:numPr>
          <w:ilvl w:val="2"/>
          <w:numId w:val="8"/>
        </w:numPr>
        <w:shd w:val="clear"/>
        <w:spacing w:line="440" w:lineRule="exact"/>
        <w:ind w:left="0" w:firstLine="0"/>
        <w:rPr>
          <w:rFonts w:ascii="宋体" w:hAnsi="宋体" w:cs="宋体"/>
          <w:sz w:val="24"/>
          <w:highlight w:val="none"/>
        </w:rPr>
      </w:pPr>
      <w:r>
        <w:rPr>
          <w:rFonts w:hint="eastAsia" w:ascii="宋体" w:hAnsi="宋体" w:cs="宋体"/>
          <w:sz w:val="24"/>
          <w:highlight w:val="none"/>
        </w:rPr>
        <w:t>制作场地的费用（发包人负责场地平整）；</w:t>
      </w:r>
    </w:p>
    <w:p>
      <w:pPr>
        <w:numPr>
          <w:ilvl w:val="2"/>
          <w:numId w:val="8"/>
        </w:numPr>
        <w:shd w:val="clear"/>
        <w:spacing w:line="440" w:lineRule="exact"/>
        <w:ind w:left="0" w:firstLine="0"/>
        <w:rPr>
          <w:rFonts w:ascii="宋体" w:hAnsi="宋体" w:cs="宋体"/>
          <w:sz w:val="24"/>
          <w:highlight w:val="none"/>
        </w:rPr>
      </w:pPr>
      <w:r>
        <w:rPr>
          <w:rFonts w:hint="eastAsia" w:ascii="宋体" w:hAnsi="宋体" w:cs="宋体"/>
          <w:sz w:val="24"/>
          <w:highlight w:val="none"/>
        </w:rPr>
        <w:t>满足设备安装施工条件的场地费用（发包人负责场地道路平整）；</w:t>
      </w:r>
    </w:p>
    <w:p>
      <w:pPr>
        <w:shd w:val="clear"/>
        <w:spacing w:line="440" w:lineRule="exact"/>
        <w:rPr>
          <w:rFonts w:ascii="宋体" w:hAnsi="宋体" w:cs="宋体"/>
          <w:sz w:val="24"/>
          <w:highlight w:val="none"/>
        </w:rPr>
      </w:pPr>
      <w:r>
        <w:rPr>
          <w:rFonts w:hint="eastAsia" w:ascii="宋体" w:hAnsi="宋体" w:cs="宋体"/>
          <w:sz w:val="24"/>
          <w:highlight w:val="none"/>
        </w:rPr>
        <w:t>15.8.21    承包人委托当地有关部门所有报检报验的的费用；</w:t>
      </w:r>
    </w:p>
    <w:p>
      <w:pPr>
        <w:shd w:val="clear"/>
        <w:spacing w:line="440" w:lineRule="exact"/>
        <w:rPr>
          <w:rFonts w:ascii="宋体" w:hAnsi="宋体" w:cs="宋体"/>
          <w:sz w:val="24"/>
          <w:highlight w:val="none"/>
        </w:rPr>
      </w:pPr>
      <w:r>
        <w:rPr>
          <w:rFonts w:hint="eastAsia" w:ascii="宋体" w:hAnsi="宋体" w:cs="宋体"/>
          <w:sz w:val="24"/>
          <w:highlight w:val="none"/>
        </w:rPr>
        <w:t>15.8.22    必须经当地技术监督部门和安全监督部门强制检验的施工安装机械、器具检测费用或者相关材料检测费用；</w:t>
      </w:r>
    </w:p>
    <w:p>
      <w:pPr>
        <w:numPr>
          <w:ilvl w:val="2"/>
          <w:numId w:val="9"/>
        </w:numPr>
        <w:shd w:val="clear"/>
        <w:spacing w:line="440" w:lineRule="exact"/>
        <w:rPr>
          <w:rFonts w:ascii="宋体" w:hAnsi="宋体" w:cs="宋体"/>
          <w:sz w:val="24"/>
          <w:highlight w:val="none"/>
        </w:rPr>
      </w:pPr>
      <w:r>
        <w:rPr>
          <w:rFonts w:hint="eastAsia" w:ascii="宋体" w:hAnsi="宋体" w:cs="宋体"/>
          <w:sz w:val="24"/>
          <w:highlight w:val="none"/>
        </w:rPr>
        <w:t>设立一个现场医护室增加的费用；</w:t>
      </w:r>
    </w:p>
    <w:p>
      <w:pPr>
        <w:numPr>
          <w:ilvl w:val="2"/>
          <w:numId w:val="9"/>
        </w:numPr>
        <w:shd w:val="clear"/>
        <w:spacing w:line="440" w:lineRule="exact"/>
        <w:rPr>
          <w:rFonts w:ascii="宋体" w:hAnsi="宋体" w:cs="宋体"/>
          <w:sz w:val="24"/>
          <w:highlight w:val="none"/>
        </w:rPr>
      </w:pPr>
      <w:r>
        <w:rPr>
          <w:rFonts w:hint="eastAsia" w:ascii="宋体" w:hAnsi="宋体" w:cs="宋体"/>
          <w:sz w:val="24"/>
          <w:highlight w:val="none"/>
        </w:rPr>
        <w:t>因发包人的原因发生的材料代用的量差、价差；</w:t>
      </w:r>
    </w:p>
    <w:p>
      <w:pPr>
        <w:numPr>
          <w:ilvl w:val="2"/>
          <w:numId w:val="9"/>
        </w:numPr>
        <w:shd w:val="clear"/>
        <w:spacing w:line="440" w:lineRule="exact"/>
        <w:rPr>
          <w:rFonts w:ascii="宋体" w:hAnsi="宋体" w:cs="宋体"/>
          <w:sz w:val="24"/>
          <w:highlight w:val="none"/>
        </w:rPr>
      </w:pPr>
      <w:r>
        <w:rPr>
          <w:rFonts w:hint="eastAsia" w:ascii="宋体" w:hAnsi="宋体" w:cs="宋体"/>
          <w:sz w:val="24"/>
          <w:highlight w:val="none"/>
        </w:rPr>
        <w:t>90 天试生产期间</w:t>
      </w:r>
      <w:bookmarkStart w:id="20" w:name="_Hlk532115180"/>
      <w:r>
        <w:rPr>
          <w:rFonts w:hint="eastAsia" w:ascii="宋体" w:hAnsi="宋体" w:cs="宋体"/>
          <w:sz w:val="24"/>
          <w:highlight w:val="none"/>
        </w:rPr>
        <w:t>保驾护航</w:t>
      </w:r>
      <w:bookmarkEnd w:id="20"/>
      <w:r>
        <w:rPr>
          <w:rFonts w:hint="eastAsia" w:ascii="宋体" w:hAnsi="宋体" w:cs="宋体"/>
          <w:sz w:val="24"/>
          <w:highlight w:val="none"/>
        </w:rPr>
        <w:t>费用；</w:t>
      </w:r>
    </w:p>
    <w:p>
      <w:pPr>
        <w:numPr>
          <w:ilvl w:val="2"/>
          <w:numId w:val="9"/>
        </w:numPr>
        <w:shd w:val="clear"/>
        <w:spacing w:line="440" w:lineRule="exact"/>
        <w:rPr>
          <w:rFonts w:ascii="宋体" w:hAnsi="宋体" w:cs="宋体"/>
          <w:sz w:val="24"/>
          <w:highlight w:val="none"/>
        </w:rPr>
      </w:pPr>
      <w:bookmarkStart w:id="21" w:name="_Hlk532115196"/>
      <w:r>
        <w:rPr>
          <w:rFonts w:hint="eastAsia" w:ascii="宋体" w:hAnsi="宋体" w:cs="宋体"/>
          <w:sz w:val="24"/>
          <w:highlight w:val="none"/>
        </w:rPr>
        <w:t>各种因素所导致的</w:t>
      </w:r>
      <w:bookmarkEnd w:id="21"/>
      <w:r>
        <w:rPr>
          <w:rFonts w:hint="eastAsia" w:ascii="宋体" w:hAnsi="宋体" w:cs="宋体"/>
          <w:sz w:val="24"/>
          <w:highlight w:val="none"/>
        </w:rPr>
        <w:t>降效费和窝工费；</w:t>
      </w:r>
    </w:p>
    <w:p>
      <w:pPr>
        <w:numPr>
          <w:ilvl w:val="2"/>
          <w:numId w:val="9"/>
        </w:numPr>
        <w:shd w:val="clear"/>
        <w:spacing w:line="440" w:lineRule="exact"/>
        <w:rPr>
          <w:rFonts w:ascii="宋体" w:hAnsi="宋体" w:cs="宋体"/>
          <w:sz w:val="24"/>
          <w:highlight w:val="none"/>
        </w:rPr>
      </w:pPr>
      <w:r>
        <w:rPr>
          <w:rFonts w:hint="eastAsia" w:ascii="宋体" w:hAnsi="宋体" w:cs="宋体"/>
          <w:sz w:val="24"/>
          <w:highlight w:val="none"/>
        </w:rPr>
        <w:t>工程赶工费；</w:t>
      </w:r>
    </w:p>
    <w:p>
      <w:pPr>
        <w:numPr>
          <w:ilvl w:val="2"/>
          <w:numId w:val="9"/>
        </w:numPr>
        <w:shd w:val="clear"/>
        <w:spacing w:line="440" w:lineRule="exact"/>
        <w:rPr>
          <w:rFonts w:ascii="宋体" w:hAnsi="宋体" w:cs="宋体"/>
          <w:sz w:val="24"/>
          <w:highlight w:val="none"/>
        </w:rPr>
      </w:pPr>
      <w:r>
        <w:rPr>
          <w:rFonts w:hint="eastAsia" w:ascii="宋体" w:hAnsi="宋体" w:cs="宋体"/>
          <w:sz w:val="24"/>
          <w:highlight w:val="none"/>
        </w:rPr>
        <w:t>垃圾、污水及有害物处理的费用，施工躁声和粉尘的控制费用；</w:t>
      </w:r>
    </w:p>
    <w:p>
      <w:pPr>
        <w:numPr>
          <w:ilvl w:val="2"/>
          <w:numId w:val="9"/>
        </w:numPr>
        <w:shd w:val="clear"/>
        <w:spacing w:line="440" w:lineRule="exact"/>
        <w:rPr>
          <w:rFonts w:ascii="宋体" w:hAnsi="宋体" w:cs="宋体"/>
          <w:sz w:val="24"/>
          <w:highlight w:val="none"/>
        </w:rPr>
      </w:pPr>
      <w:r>
        <w:rPr>
          <w:rFonts w:hint="eastAsia" w:ascii="宋体" w:hAnsi="宋体" w:cs="宋体"/>
          <w:sz w:val="24"/>
          <w:highlight w:val="none"/>
        </w:rPr>
        <w:t>与其他专业交叉作业的安全防护和措施费用；</w:t>
      </w:r>
    </w:p>
    <w:p>
      <w:pPr>
        <w:shd w:val="clear"/>
        <w:spacing w:line="440" w:lineRule="exact"/>
        <w:rPr>
          <w:rFonts w:ascii="宋体" w:hAnsi="宋体" w:cs="宋体"/>
          <w:sz w:val="24"/>
          <w:highlight w:val="none"/>
        </w:rPr>
      </w:pPr>
      <w:r>
        <w:rPr>
          <w:rFonts w:hint="eastAsia" w:ascii="宋体" w:hAnsi="宋体" w:cs="宋体"/>
          <w:sz w:val="24"/>
          <w:highlight w:val="none"/>
        </w:rPr>
        <w:t>15.8.31    工程造价中包括承包人向发包人开发票所交纳的税金和各种规费；</w:t>
      </w:r>
    </w:p>
    <w:p>
      <w:pPr>
        <w:shd w:val="clear"/>
        <w:spacing w:line="440" w:lineRule="exact"/>
        <w:rPr>
          <w:rFonts w:ascii="宋体" w:hAnsi="宋体" w:cs="宋体"/>
          <w:sz w:val="24"/>
          <w:highlight w:val="none"/>
        </w:rPr>
      </w:pPr>
      <w:r>
        <w:rPr>
          <w:rFonts w:hint="eastAsia" w:ascii="宋体" w:hAnsi="宋体" w:cs="宋体"/>
          <w:sz w:val="24"/>
          <w:highlight w:val="none"/>
        </w:rPr>
        <w:t>15.8.32    其它属于安装工程范围内的内容及所发生的一切费用；</w:t>
      </w:r>
    </w:p>
    <w:p>
      <w:pPr>
        <w:pStyle w:val="45"/>
        <w:shd w:val="clear"/>
        <w:spacing w:line="440" w:lineRule="exact"/>
        <w:ind w:left="0" w:firstLine="0" w:firstLineChars="0"/>
        <w:rPr>
          <w:rFonts w:ascii="宋体" w:hAnsi="宋体"/>
          <w:sz w:val="24"/>
          <w:szCs w:val="22"/>
          <w:highlight w:val="none"/>
        </w:rPr>
      </w:pPr>
      <w:r>
        <w:rPr>
          <w:rFonts w:hint="eastAsia" w:ascii="宋体" w:hAnsi="宋体"/>
          <w:sz w:val="24"/>
          <w:highlight w:val="none"/>
        </w:rPr>
        <w:t xml:space="preserve">15.8.33    </w:t>
      </w:r>
      <w:r>
        <w:rPr>
          <w:rFonts w:hint="eastAsia" w:ascii="宋体" w:hAnsi="宋体"/>
          <w:sz w:val="24"/>
          <w:szCs w:val="22"/>
          <w:highlight w:val="none"/>
        </w:rPr>
        <w:t>所有钢结构施工包含除锈防锈防腐的材料和施工。</w:t>
      </w:r>
    </w:p>
    <w:p>
      <w:pPr>
        <w:shd w:val="clear"/>
        <w:spacing w:line="440" w:lineRule="exact"/>
        <w:ind w:left="1200" w:hanging="1200" w:hangingChars="500"/>
        <w:rPr>
          <w:rFonts w:ascii="宋体" w:hAnsi="宋体" w:cs="宋体"/>
          <w:sz w:val="24"/>
          <w:highlight w:val="none"/>
        </w:rPr>
      </w:pPr>
      <w:r>
        <w:rPr>
          <w:rFonts w:hint="eastAsia" w:ascii="宋体" w:hAnsi="宋体" w:cs="宋体"/>
          <w:sz w:val="24"/>
          <w:highlight w:val="none"/>
        </w:rPr>
        <w:t xml:space="preserve">15.8.34    </w:t>
      </w:r>
      <w:r>
        <w:rPr>
          <w:rFonts w:hint="eastAsia" w:ascii="宋体" w:hAnsi="宋体" w:cs="宋体"/>
          <w:bCs/>
          <w:sz w:val="24"/>
          <w:highlight w:val="none"/>
        </w:rPr>
        <w:t>固定综合单价（包干总价）</w:t>
      </w:r>
      <w:r>
        <w:rPr>
          <w:rFonts w:hint="eastAsia" w:ascii="宋体" w:hAnsi="宋体" w:cs="宋体"/>
          <w:sz w:val="24"/>
          <w:highlight w:val="none"/>
        </w:rPr>
        <w:t>一次性确定，承包人应对包干价合同承担上述风险责任，合同履行期内任何原因造成的费用增加均不对</w:t>
      </w:r>
      <w:r>
        <w:rPr>
          <w:rFonts w:hint="eastAsia" w:ascii="宋体" w:hAnsi="宋体" w:cs="宋体"/>
          <w:bCs/>
          <w:sz w:val="24"/>
          <w:highlight w:val="none"/>
        </w:rPr>
        <w:t>固定综合单价（包干总价）</w:t>
      </w:r>
      <w:r>
        <w:rPr>
          <w:rFonts w:hint="eastAsia" w:ascii="宋体" w:hAnsi="宋体" w:cs="宋体"/>
          <w:sz w:val="24"/>
          <w:highlight w:val="none"/>
        </w:rPr>
        <w:t>进行调整。</w:t>
      </w:r>
    </w:p>
    <w:p>
      <w:pPr>
        <w:shd w:val="clear"/>
        <w:snapToGrid w:val="0"/>
        <w:spacing w:line="440" w:lineRule="exact"/>
        <w:rPr>
          <w:rFonts w:ascii="宋体" w:hAnsi="宋体" w:cs="宋体"/>
          <w:bCs/>
          <w:sz w:val="24"/>
          <w:highlight w:val="none"/>
        </w:rPr>
      </w:pPr>
      <w:r>
        <w:rPr>
          <w:rFonts w:hint="eastAsia" w:ascii="宋体" w:hAnsi="宋体" w:cs="宋体"/>
          <w:bCs/>
          <w:sz w:val="24"/>
          <w:highlight w:val="none"/>
        </w:rPr>
        <w:t>15.8.35   本招标文件中提供的工程量仅作总价报价参考用，最终以实际发生结算为准。</w:t>
      </w:r>
    </w:p>
    <w:p>
      <w:pPr>
        <w:shd w:val="clear"/>
        <w:snapToGrid w:val="0"/>
        <w:spacing w:line="440" w:lineRule="exact"/>
        <w:rPr>
          <w:rFonts w:ascii="宋体" w:hAnsi="宋体" w:cs="宋体"/>
          <w:sz w:val="24"/>
          <w:highlight w:val="none"/>
        </w:rPr>
      </w:pPr>
      <w:r>
        <w:rPr>
          <w:rFonts w:hint="eastAsia" w:ascii="宋体" w:hAnsi="宋体" w:cs="宋体"/>
          <w:bCs/>
          <w:sz w:val="24"/>
          <w:highlight w:val="none"/>
        </w:rPr>
        <w:t>15.8.36   设备重量以设备制造厂家提供的设备重量或过磅数量为准（过磅数量优先）；</w:t>
      </w:r>
      <w:r>
        <w:rPr>
          <w:rFonts w:hint="eastAsia" w:ascii="宋体" w:hAnsi="宋体" w:cs="宋体"/>
          <w:sz w:val="24"/>
          <w:highlight w:val="none"/>
        </w:rPr>
        <w:t>非标件及钢结构重量按领料出库单或设计方提供的非标件及钢结构图纸计算工程量为准；保温工程及给排水、消防管道工程以实</w:t>
      </w:r>
      <w:r>
        <w:rPr>
          <w:rFonts w:hint="eastAsia" w:ascii="宋体" w:hAnsi="宋体" w:cs="宋体"/>
          <w:bCs/>
          <w:sz w:val="24"/>
          <w:highlight w:val="none"/>
        </w:rPr>
        <w:t>际测量或</w:t>
      </w:r>
      <w:r>
        <w:rPr>
          <w:rFonts w:hint="eastAsia" w:ascii="宋体" w:hAnsi="宋体" w:cs="宋体"/>
          <w:sz w:val="24"/>
          <w:highlight w:val="none"/>
        </w:rPr>
        <w:t>设计方提供的非标件及钢结构图纸计算工程量为准。</w:t>
      </w:r>
    </w:p>
    <w:p>
      <w:pPr>
        <w:shd w:val="clear"/>
        <w:spacing w:line="440" w:lineRule="exact"/>
        <w:rPr>
          <w:rFonts w:ascii="宋体" w:hAnsi="宋体" w:cs="宋体"/>
          <w:sz w:val="24"/>
          <w:highlight w:val="none"/>
        </w:rPr>
      </w:pPr>
      <w:r>
        <w:rPr>
          <w:rFonts w:hint="eastAsia" w:ascii="宋体" w:hAnsi="宋体" w:cs="宋体"/>
          <w:sz w:val="24"/>
          <w:highlight w:val="none"/>
        </w:rPr>
        <w:t>15.11 最低报价不能作为中标的保证。</w:t>
      </w:r>
    </w:p>
    <w:p>
      <w:pPr>
        <w:pStyle w:val="5"/>
        <w:shd w:val="clear"/>
        <w:spacing w:before="0" w:after="0" w:line="440" w:lineRule="exact"/>
        <w:rPr>
          <w:rFonts w:cs="宋体"/>
          <w:bCs/>
          <w:sz w:val="24"/>
          <w:szCs w:val="24"/>
          <w:highlight w:val="none"/>
        </w:rPr>
      </w:pPr>
      <w:r>
        <w:rPr>
          <w:rFonts w:hint="eastAsia" w:cs="宋体"/>
          <w:bCs/>
          <w:sz w:val="24"/>
          <w:szCs w:val="24"/>
          <w:highlight w:val="none"/>
        </w:rPr>
        <w:t>16、投标有效期</w:t>
      </w:r>
    </w:p>
    <w:p>
      <w:pPr>
        <w:shd w:val="clear"/>
        <w:spacing w:line="440" w:lineRule="exact"/>
        <w:ind w:left="1"/>
        <w:rPr>
          <w:rFonts w:ascii="宋体" w:hAnsi="宋体" w:cs="宋体"/>
          <w:sz w:val="24"/>
          <w:highlight w:val="none"/>
        </w:rPr>
      </w:pPr>
      <w:r>
        <w:rPr>
          <w:rFonts w:hint="eastAsia" w:ascii="宋体" w:hAnsi="宋体" w:cs="宋体"/>
          <w:sz w:val="24"/>
          <w:highlight w:val="none"/>
        </w:rPr>
        <w:t>16.1投标文件应在本须知前附表规定的投标截止期之后开始生效，在本须知前附表规定的日历日内保持有效。</w:t>
      </w:r>
    </w:p>
    <w:p>
      <w:pPr>
        <w:shd w:val="clear"/>
        <w:spacing w:line="440" w:lineRule="exact"/>
        <w:rPr>
          <w:rFonts w:ascii="宋体" w:hAnsi="宋体" w:cs="宋体"/>
          <w:sz w:val="24"/>
          <w:highlight w:val="none"/>
        </w:rPr>
      </w:pPr>
      <w:r>
        <w:rPr>
          <w:rFonts w:hint="eastAsia" w:ascii="宋体" w:hAnsi="宋体" w:cs="宋体"/>
          <w:sz w:val="24"/>
          <w:highlight w:val="none"/>
        </w:rPr>
        <w:t>16.2如果出现特殊情况，招标代理机构可要求投标人将投标有效期延长一段时间。这种要求和投标人的答复应以书面方式进行。投标人可以拒绝这种要求而不被没收投标保证金。同意延期的投标人，不需要也不允许修改他的投标文件，但需要将其投标保证金延长相应的时间。</w:t>
      </w:r>
    </w:p>
    <w:p>
      <w:pPr>
        <w:pStyle w:val="5"/>
        <w:shd w:val="clear"/>
        <w:spacing w:before="0" w:after="0" w:line="440" w:lineRule="exact"/>
        <w:rPr>
          <w:rFonts w:cs="宋体"/>
          <w:bCs/>
          <w:sz w:val="24"/>
          <w:szCs w:val="24"/>
          <w:highlight w:val="none"/>
        </w:rPr>
      </w:pPr>
      <w:r>
        <w:rPr>
          <w:rFonts w:hint="eastAsia" w:cs="宋体"/>
          <w:bCs/>
          <w:sz w:val="24"/>
          <w:szCs w:val="24"/>
          <w:highlight w:val="none"/>
        </w:rPr>
        <w:t>17、投标保证金</w:t>
      </w:r>
    </w:p>
    <w:p>
      <w:pPr>
        <w:shd w:val="clear"/>
        <w:spacing w:line="440" w:lineRule="exact"/>
        <w:ind w:left="1"/>
        <w:rPr>
          <w:rFonts w:ascii="宋体" w:hAnsi="宋体" w:cs="宋体"/>
          <w:sz w:val="24"/>
          <w:highlight w:val="none"/>
        </w:rPr>
      </w:pPr>
      <w:r>
        <w:rPr>
          <w:rFonts w:hint="eastAsia" w:ascii="宋体" w:hAnsi="宋体" w:cs="宋体"/>
          <w:sz w:val="24"/>
          <w:highlight w:val="none"/>
        </w:rPr>
        <w:t>17.1投标人应提供本须知前附表所述金额的投标保证金，保证金是投标文件的一个组成部分。</w:t>
      </w:r>
    </w:p>
    <w:p>
      <w:pPr>
        <w:shd w:val="clear"/>
        <w:spacing w:line="440" w:lineRule="exact"/>
        <w:ind w:left="1"/>
        <w:rPr>
          <w:rFonts w:ascii="宋体" w:hAnsi="宋体" w:cs="宋体"/>
          <w:sz w:val="24"/>
          <w:highlight w:val="none"/>
        </w:rPr>
      </w:pPr>
      <w:r>
        <w:rPr>
          <w:rFonts w:hint="eastAsia" w:ascii="宋体" w:hAnsi="宋体" w:cs="宋体"/>
          <w:sz w:val="24"/>
          <w:highlight w:val="none"/>
        </w:rPr>
        <w:t>17.2任何未按第17.1要求提交可接受投标保证金的投标将被视为非响应性投标，作无效标处理。</w:t>
      </w:r>
    </w:p>
    <w:p>
      <w:pPr>
        <w:shd w:val="clear"/>
        <w:spacing w:line="440" w:lineRule="exact"/>
        <w:ind w:left="0" w:leftChars="-14" w:hanging="28" w:hangingChars="12"/>
        <w:rPr>
          <w:rFonts w:ascii="宋体" w:hAnsi="宋体" w:cs="宋体"/>
          <w:sz w:val="24"/>
          <w:highlight w:val="none"/>
        </w:rPr>
      </w:pPr>
      <w:r>
        <w:rPr>
          <w:rFonts w:hint="eastAsia" w:ascii="宋体" w:hAnsi="宋体" w:cs="宋体"/>
          <w:sz w:val="24"/>
          <w:highlight w:val="none"/>
        </w:rPr>
        <w:t>17.3如有下列情况，招标人将没收投标保证金：</w:t>
      </w:r>
    </w:p>
    <w:p>
      <w:pPr>
        <w:shd w:val="clear"/>
        <w:spacing w:line="440" w:lineRule="exact"/>
        <w:ind w:left="622" w:leftChars="57" w:hanging="508" w:hangingChars="212"/>
        <w:rPr>
          <w:rFonts w:ascii="宋体" w:hAnsi="宋体" w:cs="宋体"/>
          <w:sz w:val="24"/>
          <w:highlight w:val="none"/>
        </w:rPr>
      </w:pPr>
      <w:r>
        <w:rPr>
          <w:rFonts w:hint="eastAsia" w:ascii="宋体" w:hAnsi="宋体" w:cs="宋体"/>
          <w:sz w:val="24"/>
          <w:highlight w:val="none"/>
        </w:rPr>
        <w:t>（1）投标人在招标文件规定的投标有效期内撤回其投标。</w:t>
      </w:r>
    </w:p>
    <w:p>
      <w:pPr>
        <w:shd w:val="clear"/>
        <w:spacing w:line="440" w:lineRule="exact"/>
        <w:ind w:left="622" w:leftChars="57" w:hanging="508" w:hangingChars="212"/>
        <w:rPr>
          <w:rFonts w:ascii="宋体" w:hAnsi="宋体" w:cs="宋体"/>
          <w:sz w:val="24"/>
          <w:highlight w:val="none"/>
        </w:rPr>
      </w:pPr>
      <w:r>
        <w:rPr>
          <w:rFonts w:hint="eastAsia" w:ascii="宋体" w:hAnsi="宋体" w:cs="宋体"/>
          <w:sz w:val="24"/>
          <w:highlight w:val="none"/>
        </w:rPr>
        <w:t>（2）中标人未按规定签订合同。</w:t>
      </w:r>
    </w:p>
    <w:p>
      <w:pPr>
        <w:shd w:val="clear"/>
        <w:spacing w:line="440" w:lineRule="exact"/>
        <w:ind w:left="622" w:leftChars="57" w:hanging="508" w:hangingChars="212"/>
        <w:rPr>
          <w:rFonts w:ascii="宋体" w:hAnsi="宋体" w:cs="宋体"/>
          <w:sz w:val="24"/>
          <w:highlight w:val="none"/>
        </w:rPr>
      </w:pPr>
      <w:r>
        <w:rPr>
          <w:rFonts w:hint="eastAsia" w:ascii="宋体" w:hAnsi="宋体" w:cs="宋体"/>
          <w:sz w:val="24"/>
          <w:highlight w:val="none"/>
        </w:rPr>
        <w:t>（3）中标人提供虚假材料和文件意图骗取中标。</w:t>
      </w:r>
    </w:p>
    <w:p>
      <w:pPr>
        <w:shd w:val="clear"/>
        <w:spacing w:line="440" w:lineRule="exact"/>
        <w:ind w:left="622" w:leftChars="57" w:hanging="508" w:hangingChars="212"/>
        <w:rPr>
          <w:rFonts w:ascii="宋体" w:hAnsi="宋体" w:cs="宋体"/>
          <w:sz w:val="24"/>
          <w:highlight w:val="none"/>
        </w:rPr>
      </w:pPr>
      <w:r>
        <w:rPr>
          <w:rFonts w:hint="eastAsia" w:ascii="宋体" w:hAnsi="宋体" w:cs="宋体"/>
          <w:sz w:val="24"/>
          <w:highlight w:val="none"/>
        </w:rPr>
        <w:t>（4）招标文件规定其它不予退还情形。</w:t>
      </w:r>
    </w:p>
    <w:p>
      <w:pPr>
        <w:pStyle w:val="5"/>
        <w:shd w:val="clear"/>
        <w:spacing w:before="0" w:after="0" w:line="440" w:lineRule="exact"/>
        <w:rPr>
          <w:rFonts w:cs="宋体"/>
          <w:bCs/>
          <w:sz w:val="24"/>
          <w:szCs w:val="24"/>
          <w:highlight w:val="none"/>
        </w:rPr>
      </w:pPr>
      <w:r>
        <w:rPr>
          <w:rFonts w:hint="eastAsia" w:cs="宋体"/>
          <w:bCs/>
          <w:sz w:val="24"/>
          <w:szCs w:val="24"/>
          <w:highlight w:val="none"/>
        </w:rPr>
        <w:t>18、投标文件格式和签署</w:t>
      </w:r>
    </w:p>
    <w:p>
      <w:pPr>
        <w:shd w:val="clear"/>
        <w:spacing w:line="440" w:lineRule="exact"/>
        <w:ind w:left="1"/>
        <w:rPr>
          <w:rFonts w:ascii="宋体" w:hAnsi="宋体" w:cs="宋体"/>
          <w:sz w:val="24"/>
          <w:highlight w:val="none"/>
        </w:rPr>
      </w:pPr>
      <w:r>
        <w:rPr>
          <w:rFonts w:hint="eastAsia" w:ascii="宋体" w:hAnsi="宋体" w:cs="宋体"/>
          <w:sz w:val="24"/>
          <w:highlight w:val="none"/>
        </w:rPr>
        <w:t>18.1投标人应按招标文件规定，编制投标文件正本一份和副本</w:t>
      </w:r>
      <w:r>
        <w:rPr>
          <w:rFonts w:hint="eastAsia" w:ascii="宋体" w:hAnsi="宋体" w:cs="宋体"/>
          <w:sz w:val="24"/>
          <w:highlight w:val="none"/>
          <w:lang w:val="en-US" w:eastAsia="zh-CN"/>
        </w:rPr>
        <w:t>肆</w:t>
      </w:r>
      <w:r>
        <w:rPr>
          <w:rFonts w:hint="eastAsia" w:ascii="宋体" w:hAnsi="宋体" w:cs="宋体"/>
          <w:sz w:val="24"/>
          <w:highlight w:val="none"/>
        </w:rPr>
        <w:t>份，每套投标文件打印版须清楚地标明“正本”或“副本”。若正本和副本不符，以正本为准。</w:t>
      </w:r>
    </w:p>
    <w:p>
      <w:pPr>
        <w:shd w:val="clear"/>
        <w:spacing w:line="440" w:lineRule="exact"/>
        <w:ind w:left="1"/>
        <w:rPr>
          <w:rFonts w:ascii="宋体" w:hAnsi="宋体" w:cs="宋体"/>
          <w:sz w:val="24"/>
          <w:highlight w:val="none"/>
        </w:rPr>
      </w:pPr>
      <w:r>
        <w:rPr>
          <w:rFonts w:hint="eastAsia" w:ascii="宋体" w:hAnsi="宋体" w:cs="宋体"/>
          <w:sz w:val="24"/>
          <w:highlight w:val="none"/>
        </w:rPr>
        <w:t>18.2投标文件文本必须打印，并由法定代表人或其正式授权的代理人在投标文件中签字或盖章。</w:t>
      </w:r>
    </w:p>
    <w:p>
      <w:pPr>
        <w:shd w:val="clear"/>
        <w:spacing w:line="440" w:lineRule="exact"/>
        <w:rPr>
          <w:rFonts w:ascii="宋体" w:hAnsi="宋体" w:cs="宋体"/>
          <w:b/>
          <w:sz w:val="24"/>
          <w:highlight w:val="none"/>
        </w:rPr>
      </w:pPr>
      <w:r>
        <w:rPr>
          <w:rFonts w:hint="eastAsia" w:ascii="宋体" w:hAnsi="宋体" w:cs="宋体"/>
          <w:sz w:val="24"/>
          <w:highlight w:val="none"/>
        </w:rPr>
        <w:t>18.3投标文件不得涂改和增删，如有修改，必须由法定代表人或授权代理人签字或盖章。</w:t>
      </w:r>
    </w:p>
    <w:p>
      <w:pPr>
        <w:shd w:val="clear"/>
        <w:spacing w:line="440" w:lineRule="exact"/>
        <w:ind w:left="629" w:hanging="628" w:hangingChars="262"/>
        <w:rPr>
          <w:rFonts w:ascii="宋体" w:hAnsi="宋体" w:cs="宋体"/>
          <w:sz w:val="24"/>
          <w:highlight w:val="none"/>
        </w:rPr>
      </w:pPr>
      <w:r>
        <w:rPr>
          <w:rFonts w:hint="eastAsia" w:ascii="宋体" w:hAnsi="宋体" w:cs="宋体"/>
          <w:sz w:val="24"/>
          <w:highlight w:val="none"/>
        </w:rPr>
        <w:t>18.4投标文件因字迹潦草或表达不清楚所引起的后果由投标人负责。</w:t>
      </w:r>
    </w:p>
    <w:p>
      <w:pPr>
        <w:shd w:val="clear"/>
        <w:spacing w:line="440" w:lineRule="exact"/>
        <w:ind w:left="629" w:hanging="628" w:hangingChars="262"/>
        <w:rPr>
          <w:rFonts w:ascii="宋体" w:hAnsi="宋体" w:cs="宋体"/>
          <w:sz w:val="24"/>
          <w:highlight w:val="none"/>
        </w:rPr>
      </w:pPr>
      <w:r>
        <w:rPr>
          <w:rFonts w:hint="eastAsia" w:ascii="宋体" w:hAnsi="宋体" w:cs="宋体"/>
          <w:sz w:val="24"/>
          <w:highlight w:val="none"/>
        </w:rPr>
        <w:t>18.5电报、电传、传真形式的投标概不接受。</w:t>
      </w:r>
    </w:p>
    <w:p>
      <w:pPr>
        <w:pStyle w:val="4"/>
        <w:shd w:val="clear"/>
        <w:spacing w:before="0" w:after="0" w:line="440" w:lineRule="exact"/>
        <w:rPr>
          <w:rFonts w:cs="宋体"/>
          <w:b w:val="0"/>
          <w:bCs w:val="0"/>
          <w:color w:val="auto"/>
          <w:sz w:val="28"/>
          <w:szCs w:val="28"/>
          <w:highlight w:val="none"/>
        </w:rPr>
      </w:pPr>
      <w:bookmarkStart w:id="22" w:name="_Toc219807848"/>
      <w:r>
        <w:rPr>
          <w:rFonts w:hint="eastAsia" w:cs="宋体"/>
          <w:bCs w:val="0"/>
          <w:color w:val="auto"/>
          <w:sz w:val="28"/>
          <w:szCs w:val="28"/>
          <w:highlight w:val="none"/>
        </w:rPr>
        <w:t>四</w:t>
      </w:r>
      <w:r>
        <w:rPr>
          <w:rFonts w:hint="eastAsia" w:cs="宋体"/>
          <w:b w:val="0"/>
          <w:bCs w:val="0"/>
          <w:color w:val="auto"/>
          <w:sz w:val="28"/>
          <w:szCs w:val="28"/>
          <w:highlight w:val="none"/>
        </w:rPr>
        <w:t>、</w:t>
      </w:r>
      <w:r>
        <w:rPr>
          <w:rFonts w:hint="eastAsia" w:cs="宋体"/>
          <w:bCs w:val="0"/>
          <w:color w:val="auto"/>
          <w:sz w:val="28"/>
          <w:szCs w:val="28"/>
          <w:highlight w:val="none"/>
        </w:rPr>
        <w:t>投标文件递交</w:t>
      </w:r>
      <w:bookmarkEnd w:id="22"/>
    </w:p>
    <w:p>
      <w:pPr>
        <w:pStyle w:val="5"/>
        <w:shd w:val="clear"/>
        <w:spacing w:before="0" w:after="0" w:line="440" w:lineRule="exact"/>
        <w:rPr>
          <w:rFonts w:cs="宋体"/>
          <w:bCs/>
          <w:sz w:val="24"/>
          <w:szCs w:val="24"/>
          <w:highlight w:val="none"/>
        </w:rPr>
      </w:pPr>
      <w:r>
        <w:rPr>
          <w:rFonts w:hint="eastAsia" w:cs="宋体"/>
          <w:bCs/>
          <w:sz w:val="24"/>
          <w:szCs w:val="24"/>
          <w:highlight w:val="none"/>
        </w:rPr>
        <w:t>19、投标文件密封、标记及编制说明</w:t>
      </w:r>
    </w:p>
    <w:p>
      <w:pPr>
        <w:shd w:val="clear"/>
        <w:spacing w:line="440" w:lineRule="exact"/>
        <w:rPr>
          <w:rFonts w:ascii="宋体" w:hAnsi="宋体" w:cs="宋体"/>
          <w:sz w:val="24"/>
          <w:highlight w:val="none"/>
        </w:rPr>
      </w:pPr>
      <w:r>
        <w:rPr>
          <w:rFonts w:hint="eastAsia" w:ascii="宋体" w:hAnsi="宋体" w:cs="宋体"/>
          <w:sz w:val="24"/>
          <w:highlight w:val="none"/>
        </w:rPr>
        <w:t>19.1 投标人应将投标文件正本一份和“投标资料表”规定的所有副本分开密封装在单独的信封中，且在信封上标明“正本”“副本”字样。</w:t>
      </w:r>
    </w:p>
    <w:p>
      <w:pPr>
        <w:shd w:val="clear"/>
        <w:spacing w:line="440" w:lineRule="exact"/>
        <w:rPr>
          <w:rFonts w:ascii="宋体" w:hAnsi="宋体" w:cs="宋体"/>
          <w:sz w:val="24"/>
          <w:highlight w:val="none"/>
        </w:rPr>
      </w:pPr>
      <w:r>
        <w:rPr>
          <w:rFonts w:hint="eastAsia" w:ascii="宋体" w:hAnsi="宋体" w:cs="宋体"/>
          <w:sz w:val="24"/>
          <w:highlight w:val="none"/>
        </w:rPr>
        <w:t>19.2 为方便开标，投标人应将投标一览表、投标保证金单独密封，并在信封上标明“投标一览表”字样。</w:t>
      </w:r>
    </w:p>
    <w:p>
      <w:pPr>
        <w:shd w:val="clear"/>
        <w:spacing w:line="440" w:lineRule="exact"/>
        <w:rPr>
          <w:rFonts w:ascii="宋体" w:hAnsi="宋体" w:cs="宋体"/>
          <w:sz w:val="24"/>
          <w:highlight w:val="none"/>
        </w:rPr>
      </w:pPr>
      <w:r>
        <w:rPr>
          <w:rFonts w:hint="eastAsia" w:ascii="宋体" w:hAnsi="宋体" w:cs="宋体"/>
          <w:sz w:val="24"/>
          <w:highlight w:val="none"/>
        </w:rPr>
        <w:t>19.3 投标人应将19.1条和19.2条的所有信封封装在一个外层信封中。</w:t>
      </w:r>
    </w:p>
    <w:p>
      <w:pPr>
        <w:shd w:val="clear"/>
        <w:spacing w:line="440" w:lineRule="exact"/>
        <w:rPr>
          <w:rFonts w:ascii="宋体" w:hAnsi="宋体" w:cs="宋体"/>
          <w:sz w:val="24"/>
          <w:highlight w:val="none"/>
        </w:rPr>
      </w:pPr>
      <w:r>
        <w:rPr>
          <w:rFonts w:hint="eastAsia" w:ascii="宋体" w:hAnsi="宋体" w:cs="宋体"/>
          <w:sz w:val="24"/>
          <w:highlight w:val="none"/>
        </w:rPr>
        <w:t>19.4 内外层信封均应：封口处有投标全权代表的签字或投标单位公章。封皮上注明“投标资料表”中指明的招标项目名称、招标编号(或备案号)、投标人名称、地址、邮政编码、电话、联系人，并注明“开标时启封”字样。</w:t>
      </w:r>
    </w:p>
    <w:p>
      <w:pPr>
        <w:shd w:val="clear"/>
        <w:spacing w:line="440" w:lineRule="exact"/>
        <w:rPr>
          <w:rFonts w:ascii="宋体" w:hAnsi="宋体" w:cs="宋体"/>
          <w:b/>
          <w:bCs/>
          <w:sz w:val="30"/>
          <w:highlight w:val="none"/>
        </w:rPr>
      </w:pPr>
      <w:r>
        <w:rPr>
          <w:rFonts w:hint="eastAsia" w:ascii="宋体" w:hAnsi="宋体" w:cs="宋体"/>
          <w:sz w:val="24"/>
          <w:highlight w:val="none"/>
        </w:rPr>
        <w:t>19.5 如果投标人未按上述要求密封及加写标记，招标代理机构对投标文件的误投和提前启封概不负责。</w:t>
      </w:r>
    </w:p>
    <w:p>
      <w:pPr>
        <w:pStyle w:val="5"/>
        <w:shd w:val="clear"/>
        <w:spacing w:before="0" w:after="0" w:line="440" w:lineRule="exact"/>
        <w:rPr>
          <w:rFonts w:cs="宋体"/>
          <w:bCs/>
          <w:sz w:val="24"/>
          <w:szCs w:val="24"/>
          <w:highlight w:val="none"/>
        </w:rPr>
      </w:pPr>
      <w:r>
        <w:rPr>
          <w:rFonts w:hint="eastAsia" w:cs="宋体"/>
          <w:bCs/>
          <w:sz w:val="24"/>
          <w:szCs w:val="24"/>
          <w:highlight w:val="none"/>
        </w:rPr>
        <w:t>20、投标截止时间</w:t>
      </w:r>
    </w:p>
    <w:p>
      <w:pPr>
        <w:shd w:val="clear"/>
        <w:spacing w:line="440" w:lineRule="exact"/>
        <w:rPr>
          <w:rFonts w:ascii="宋体" w:hAnsi="宋体" w:cs="宋体"/>
          <w:sz w:val="24"/>
          <w:highlight w:val="none"/>
        </w:rPr>
      </w:pPr>
      <w:r>
        <w:rPr>
          <w:rFonts w:hint="eastAsia" w:ascii="宋体" w:hAnsi="宋体" w:cs="宋体"/>
          <w:sz w:val="24"/>
          <w:highlight w:val="none"/>
        </w:rPr>
        <w:t>20.1投标文件必须在投标截止时间前送达招标文件规定的投标地点。</w:t>
      </w:r>
    </w:p>
    <w:p>
      <w:pPr>
        <w:shd w:val="clear"/>
        <w:spacing w:line="440" w:lineRule="exact"/>
        <w:rPr>
          <w:rFonts w:ascii="宋体" w:hAnsi="宋体" w:cs="宋体"/>
          <w:sz w:val="24"/>
          <w:highlight w:val="none"/>
        </w:rPr>
      </w:pPr>
      <w:r>
        <w:rPr>
          <w:rFonts w:hint="eastAsia" w:ascii="宋体" w:hAnsi="宋体" w:cs="宋体"/>
          <w:sz w:val="24"/>
          <w:highlight w:val="none"/>
        </w:rPr>
        <w:t>20.2招标代理机构推迟投标截止时间时，应以书面形式通知所有投标人。在这种情况下，招标代理机构、招标人和投标人受投标截止时间制约的所有权利和义务均应延长至新的截止时间。</w:t>
      </w:r>
    </w:p>
    <w:p>
      <w:pPr>
        <w:pStyle w:val="5"/>
        <w:shd w:val="clear"/>
        <w:spacing w:before="0" w:after="0" w:line="440" w:lineRule="exact"/>
        <w:rPr>
          <w:rFonts w:cs="宋体"/>
          <w:bCs/>
          <w:sz w:val="24"/>
          <w:szCs w:val="24"/>
          <w:highlight w:val="none"/>
        </w:rPr>
      </w:pPr>
      <w:r>
        <w:rPr>
          <w:rFonts w:hint="eastAsia" w:cs="宋体"/>
          <w:bCs/>
          <w:sz w:val="24"/>
          <w:szCs w:val="24"/>
          <w:highlight w:val="none"/>
        </w:rPr>
        <w:t>21、迟交的投标文件</w:t>
      </w:r>
    </w:p>
    <w:p>
      <w:pPr>
        <w:shd w:val="clear"/>
        <w:spacing w:line="440" w:lineRule="exact"/>
        <w:rPr>
          <w:rFonts w:ascii="宋体" w:hAnsi="宋体" w:cs="宋体"/>
          <w:sz w:val="24"/>
          <w:highlight w:val="none"/>
        </w:rPr>
      </w:pPr>
      <w:r>
        <w:rPr>
          <w:rFonts w:hint="eastAsia" w:ascii="宋体" w:hAnsi="宋体" w:cs="宋体"/>
          <w:sz w:val="24"/>
          <w:highlight w:val="none"/>
        </w:rPr>
        <w:t>21.1在投标截止时间以后送达的投标文件，招标代理机构将拒绝接受。</w:t>
      </w:r>
    </w:p>
    <w:p>
      <w:pPr>
        <w:pStyle w:val="5"/>
        <w:shd w:val="clear"/>
        <w:spacing w:before="0" w:after="0" w:line="440" w:lineRule="exact"/>
        <w:rPr>
          <w:rFonts w:cs="宋体"/>
          <w:bCs/>
          <w:sz w:val="24"/>
          <w:szCs w:val="24"/>
          <w:highlight w:val="none"/>
        </w:rPr>
      </w:pPr>
      <w:r>
        <w:rPr>
          <w:rFonts w:hint="eastAsia" w:cs="宋体"/>
          <w:bCs/>
          <w:sz w:val="24"/>
          <w:szCs w:val="24"/>
          <w:highlight w:val="none"/>
        </w:rPr>
        <w:t>22、投标文件修改和撤回</w:t>
      </w:r>
    </w:p>
    <w:p>
      <w:pPr>
        <w:shd w:val="clear"/>
        <w:spacing w:line="440" w:lineRule="exact"/>
        <w:ind w:left="567" w:hanging="567"/>
        <w:rPr>
          <w:rFonts w:ascii="宋体" w:hAnsi="宋体" w:cs="宋体"/>
          <w:sz w:val="24"/>
          <w:highlight w:val="none"/>
        </w:rPr>
      </w:pPr>
      <w:r>
        <w:rPr>
          <w:rFonts w:hint="eastAsia" w:ascii="宋体" w:hAnsi="宋体" w:cs="宋体"/>
          <w:sz w:val="24"/>
          <w:highlight w:val="none"/>
        </w:rPr>
        <w:t xml:space="preserve">22.1在投标截止时间前，投标人可以书面形式提出修改或撤回其投标。 </w:t>
      </w:r>
    </w:p>
    <w:p>
      <w:pPr>
        <w:shd w:val="clear"/>
        <w:spacing w:line="440" w:lineRule="exact"/>
        <w:rPr>
          <w:rFonts w:ascii="宋体" w:hAnsi="宋体" w:cs="宋体"/>
          <w:sz w:val="24"/>
          <w:highlight w:val="none"/>
        </w:rPr>
      </w:pPr>
      <w:r>
        <w:rPr>
          <w:rFonts w:hint="eastAsia" w:ascii="宋体" w:hAnsi="宋体" w:cs="宋体"/>
          <w:sz w:val="24"/>
          <w:highlight w:val="none"/>
        </w:rPr>
        <w:t>22.2投标人修改或撤回投标文件的书面材料，须密封送达招标代理机构，同时应在封皮上标明“投标文件修改”或“投标文件撤回通知”字样。</w:t>
      </w:r>
    </w:p>
    <w:p>
      <w:pPr>
        <w:shd w:val="clear"/>
        <w:spacing w:line="440" w:lineRule="exact"/>
        <w:rPr>
          <w:rFonts w:ascii="宋体" w:hAnsi="宋体" w:cs="宋体"/>
          <w:sz w:val="24"/>
          <w:highlight w:val="none"/>
        </w:rPr>
      </w:pPr>
      <w:r>
        <w:rPr>
          <w:rFonts w:hint="eastAsia" w:ascii="宋体" w:hAnsi="宋体" w:cs="宋体"/>
          <w:sz w:val="24"/>
          <w:highlight w:val="none"/>
        </w:rPr>
        <w:t>22.3从投标截止期至投标有效期期满这段时间内，投标人不得撤回其投标，否则投标保证金将被没收。</w:t>
      </w:r>
    </w:p>
    <w:p>
      <w:pPr>
        <w:pStyle w:val="4"/>
        <w:shd w:val="clear"/>
        <w:spacing w:before="0" w:after="0" w:line="440" w:lineRule="exact"/>
        <w:rPr>
          <w:rFonts w:cs="宋体"/>
          <w:b w:val="0"/>
          <w:bCs w:val="0"/>
          <w:color w:val="auto"/>
          <w:sz w:val="28"/>
          <w:szCs w:val="28"/>
          <w:highlight w:val="none"/>
        </w:rPr>
      </w:pPr>
      <w:bookmarkStart w:id="23" w:name="_Toc219807849"/>
      <w:r>
        <w:rPr>
          <w:rFonts w:hint="eastAsia" w:cs="宋体"/>
          <w:bCs w:val="0"/>
          <w:color w:val="auto"/>
          <w:sz w:val="28"/>
          <w:szCs w:val="28"/>
          <w:highlight w:val="none"/>
        </w:rPr>
        <w:t>五</w:t>
      </w:r>
      <w:r>
        <w:rPr>
          <w:rFonts w:hint="eastAsia" w:cs="宋体"/>
          <w:b w:val="0"/>
          <w:bCs w:val="0"/>
          <w:color w:val="auto"/>
          <w:sz w:val="28"/>
          <w:szCs w:val="28"/>
          <w:highlight w:val="none"/>
        </w:rPr>
        <w:t>、</w:t>
      </w:r>
      <w:r>
        <w:rPr>
          <w:rFonts w:hint="eastAsia" w:cs="宋体"/>
          <w:bCs w:val="0"/>
          <w:color w:val="auto"/>
          <w:sz w:val="28"/>
          <w:szCs w:val="28"/>
          <w:highlight w:val="none"/>
        </w:rPr>
        <w:t>开标及评标</w:t>
      </w:r>
      <w:bookmarkEnd w:id="23"/>
    </w:p>
    <w:p>
      <w:pPr>
        <w:pStyle w:val="5"/>
        <w:shd w:val="clear"/>
        <w:spacing w:before="0" w:after="0" w:line="440" w:lineRule="exact"/>
        <w:rPr>
          <w:rFonts w:cs="宋体"/>
          <w:bCs/>
          <w:sz w:val="24"/>
          <w:szCs w:val="24"/>
          <w:highlight w:val="none"/>
        </w:rPr>
      </w:pPr>
      <w:r>
        <w:rPr>
          <w:rFonts w:hint="eastAsia" w:cs="宋体"/>
          <w:bCs/>
          <w:sz w:val="24"/>
          <w:szCs w:val="24"/>
          <w:highlight w:val="none"/>
        </w:rPr>
        <w:t xml:space="preserve">23、开标及程序 </w:t>
      </w:r>
    </w:p>
    <w:p>
      <w:pPr>
        <w:shd w:val="clear"/>
        <w:spacing w:line="440" w:lineRule="exact"/>
        <w:rPr>
          <w:rFonts w:ascii="宋体" w:hAnsi="宋体" w:cs="宋体"/>
          <w:sz w:val="24"/>
          <w:highlight w:val="none"/>
        </w:rPr>
      </w:pPr>
      <w:r>
        <w:rPr>
          <w:rFonts w:hint="eastAsia" w:ascii="宋体" w:hAnsi="宋体" w:cs="宋体"/>
          <w:sz w:val="24"/>
          <w:highlight w:val="none"/>
        </w:rPr>
        <w:t>23.1招标代理机构在招标公告中规定的时间、地点主持公开开标。开标时邀请所有投标人代表参加。参加开标的代表应签名报到以证明其出席。</w:t>
      </w:r>
    </w:p>
    <w:p>
      <w:pPr>
        <w:shd w:val="clear"/>
        <w:spacing w:line="440" w:lineRule="exact"/>
        <w:rPr>
          <w:rFonts w:ascii="宋体" w:hAnsi="宋体" w:cs="宋体"/>
          <w:sz w:val="24"/>
          <w:highlight w:val="none"/>
        </w:rPr>
      </w:pPr>
      <w:r>
        <w:rPr>
          <w:rFonts w:hint="eastAsia" w:ascii="宋体" w:hAnsi="宋体" w:cs="宋体"/>
          <w:sz w:val="24"/>
          <w:highlight w:val="none"/>
        </w:rPr>
        <w:t>23.2 开标时查验投标文件密封情况，确认无误后拆封唱标。</w:t>
      </w:r>
    </w:p>
    <w:p>
      <w:pPr>
        <w:shd w:val="clear"/>
        <w:spacing w:line="440" w:lineRule="exact"/>
        <w:rPr>
          <w:rFonts w:ascii="宋体" w:hAnsi="宋体" w:cs="宋体"/>
          <w:sz w:val="24"/>
          <w:highlight w:val="none"/>
        </w:rPr>
      </w:pPr>
      <w:r>
        <w:rPr>
          <w:rFonts w:hint="eastAsia" w:ascii="宋体" w:hAnsi="宋体" w:cs="宋体"/>
          <w:sz w:val="24"/>
          <w:highlight w:val="none"/>
        </w:rPr>
        <w:t>23.3 开标时，招标代理机构将宣读投标人名称、投标总价、项目工期、修改或撤回投标的通知、投标声明以及招标代理机构认为合适的其他内容。招标代理机构将做开标记录，只有开标时唱出的投标声明，在评标时才予以考虑。</w:t>
      </w:r>
    </w:p>
    <w:p>
      <w:pPr>
        <w:shd w:val="clear"/>
        <w:spacing w:line="440" w:lineRule="exact"/>
        <w:rPr>
          <w:rFonts w:ascii="宋体" w:hAnsi="宋体" w:cs="宋体"/>
          <w:sz w:val="24"/>
          <w:highlight w:val="none"/>
        </w:rPr>
      </w:pPr>
      <w:r>
        <w:rPr>
          <w:rFonts w:hint="eastAsia" w:ascii="宋体" w:hAnsi="宋体" w:cs="宋体"/>
          <w:sz w:val="24"/>
          <w:highlight w:val="none"/>
        </w:rPr>
        <w:t>23.4 在开标时没有启封和宣读的投标文件，在评标时将不予考虑。</w:t>
      </w:r>
    </w:p>
    <w:p>
      <w:pPr>
        <w:shd w:val="clear"/>
        <w:spacing w:line="440" w:lineRule="exact"/>
        <w:rPr>
          <w:rFonts w:ascii="宋体" w:hAnsi="宋体" w:cs="宋体"/>
          <w:sz w:val="24"/>
          <w:highlight w:val="none"/>
        </w:rPr>
      </w:pPr>
      <w:r>
        <w:rPr>
          <w:rFonts w:hint="eastAsia" w:ascii="宋体" w:hAnsi="宋体" w:cs="宋体"/>
          <w:b/>
          <w:sz w:val="24"/>
          <w:szCs w:val="24"/>
          <w:highlight w:val="none"/>
        </w:rPr>
        <w:t>投标人对开标有异议的，应当在开标现场提出，否则不予受理。</w:t>
      </w:r>
    </w:p>
    <w:p>
      <w:pPr>
        <w:pStyle w:val="5"/>
        <w:shd w:val="clear"/>
        <w:spacing w:before="0" w:after="0" w:line="440" w:lineRule="exact"/>
        <w:rPr>
          <w:rFonts w:cs="宋体"/>
          <w:bCs/>
          <w:sz w:val="24"/>
          <w:szCs w:val="24"/>
          <w:highlight w:val="none"/>
        </w:rPr>
      </w:pPr>
      <w:r>
        <w:rPr>
          <w:rFonts w:hint="eastAsia" w:cs="宋体"/>
          <w:bCs/>
          <w:sz w:val="24"/>
          <w:szCs w:val="24"/>
          <w:highlight w:val="none"/>
        </w:rPr>
        <w:t>24、资格审查</w:t>
      </w:r>
    </w:p>
    <w:p>
      <w:pPr>
        <w:shd w:val="clear"/>
        <w:spacing w:line="440" w:lineRule="exact"/>
        <w:ind w:left="630" w:hanging="630"/>
        <w:rPr>
          <w:rFonts w:ascii="宋体" w:hAnsi="宋体" w:cs="宋体"/>
          <w:b/>
          <w:bCs/>
          <w:sz w:val="24"/>
          <w:highlight w:val="none"/>
        </w:rPr>
      </w:pPr>
      <w:r>
        <w:rPr>
          <w:rFonts w:hint="eastAsia" w:ascii="宋体" w:hAnsi="宋体" w:cs="宋体"/>
          <w:sz w:val="24"/>
          <w:highlight w:val="none"/>
        </w:rPr>
        <w:t>24.1</w:t>
      </w:r>
      <w:r>
        <w:rPr>
          <w:rFonts w:hint="eastAsia" w:ascii="宋体" w:hAnsi="宋体" w:cs="宋体"/>
          <w:bCs/>
          <w:sz w:val="24"/>
          <w:highlight w:val="none"/>
        </w:rPr>
        <w:t>评标委员会先对投标人的资格进行审查，审查内容：</w:t>
      </w:r>
    </w:p>
    <w:p>
      <w:pPr>
        <w:shd w:val="clear"/>
        <w:spacing w:line="440" w:lineRule="exact"/>
        <w:ind w:left="1"/>
        <w:rPr>
          <w:rFonts w:ascii="宋体" w:hAnsi="宋体" w:cs="宋体"/>
          <w:sz w:val="24"/>
          <w:highlight w:val="none"/>
        </w:rPr>
      </w:pPr>
      <w:r>
        <w:rPr>
          <w:rFonts w:hint="eastAsia" w:ascii="宋体" w:hAnsi="宋体" w:cs="宋体"/>
          <w:sz w:val="24"/>
          <w:highlight w:val="none"/>
        </w:rPr>
        <w:t>本次招标投标人须满足投标须知前附表第3点投标人资格要求的相关要求，否则其投标无效</w:t>
      </w:r>
    </w:p>
    <w:p>
      <w:pPr>
        <w:shd w:val="clear"/>
        <w:spacing w:line="440" w:lineRule="exact"/>
        <w:ind w:left="342" w:leftChars="171" w:firstLine="120" w:firstLineChars="50"/>
        <w:rPr>
          <w:rFonts w:ascii="宋体" w:hAnsi="宋体" w:cs="宋体"/>
          <w:b/>
          <w:sz w:val="24"/>
          <w:highlight w:val="none"/>
        </w:rPr>
      </w:pPr>
      <w:r>
        <w:rPr>
          <w:rFonts w:hint="eastAsia" w:ascii="宋体" w:hAnsi="宋体" w:cs="宋体"/>
          <w:b/>
          <w:sz w:val="24"/>
          <w:highlight w:val="none"/>
        </w:rPr>
        <w:t>以上条件必须全部满足，一项不满足即视为不具备投标资格，导致无效标。</w:t>
      </w:r>
    </w:p>
    <w:p>
      <w:pPr>
        <w:shd w:val="clear"/>
        <w:spacing w:line="440" w:lineRule="exact"/>
        <w:ind w:left="1"/>
        <w:rPr>
          <w:rFonts w:ascii="宋体" w:hAnsi="宋体" w:cs="宋体"/>
          <w:sz w:val="24"/>
          <w:highlight w:val="none"/>
        </w:rPr>
      </w:pPr>
      <w:r>
        <w:rPr>
          <w:rFonts w:hint="eastAsia" w:ascii="宋体" w:hAnsi="宋体" w:cs="宋体"/>
          <w:sz w:val="24"/>
          <w:highlight w:val="none"/>
        </w:rPr>
        <w:t>24.2评标委员会在评审商务和技术文件和报价文件前，均分别进行符合性检查。符合性检查内容为投标文件内容是否完整、有无计算错误、文件签署是否合格等。</w:t>
      </w:r>
    </w:p>
    <w:p>
      <w:pPr>
        <w:shd w:val="clear"/>
        <w:spacing w:line="440" w:lineRule="exact"/>
        <w:rPr>
          <w:rFonts w:ascii="宋体" w:hAnsi="宋体" w:cs="宋体"/>
          <w:sz w:val="24"/>
          <w:highlight w:val="none"/>
        </w:rPr>
      </w:pPr>
      <w:r>
        <w:rPr>
          <w:rFonts w:hint="eastAsia" w:ascii="宋体" w:hAnsi="宋体" w:cs="宋体"/>
          <w:sz w:val="24"/>
          <w:highlight w:val="none"/>
        </w:rPr>
        <w:t>24.3初审中，算术计算错误将按以下方法更正：</w:t>
      </w:r>
    </w:p>
    <w:p>
      <w:pPr>
        <w:shd w:val="clear"/>
        <w:spacing w:line="440" w:lineRule="exact"/>
        <w:ind w:left="256" w:leftChars="128"/>
        <w:rPr>
          <w:rFonts w:ascii="宋体" w:hAnsi="宋体" w:cs="宋体"/>
          <w:sz w:val="24"/>
          <w:highlight w:val="none"/>
        </w:rPr>
      </w:pPr>
      <w:r>
        <w:rPr>
          <w:rFonts w:hint="eastAsia" w:ascii="宋体" w:hAnsi="宋体" w:cs="宋体"/>
          <w:sz w:val="24"/>
          <w:highlight w:val="none"/>
        </w:rPr>
        <w:t>（1）如果单价和数量计算的结果与总价不一致，以及分项价汇总之和与总价不一致，则以单价和分项价为准修改总价，但单价和分项价金额小数点有明显错误的除外。</w:t>
      </w:r>
    </w:p>
    <w:p>
      <w:pPr>
        <w:shd w:val="clear"/>
        <w:spacing w:line="440" w:lineRule="exact"/>
        <w:ind w:firstLine="240" w:firstLineChars="100"/>
        <w:rPr>
          <w:rFonts w:ascii="宋体" w:hAnsi="宋体" w:cs="宋体"/>
          <w:sz w:val="24"/>
          <w:highlight w:val="none"/>
        </w:rPr>
      </w:pPr>
      <w:r>
        <w:rPr>
          <w:rFonts w:hint="eastAsia" w:ascii="宋体" w:hAnsi="宋体" w:cs="宋体"/>
          <w:sz w:val="24"/>
          <w:highlight w:val="none"/>
        </w:rPr>
        <w:t>（2）</w:t>
      </w:r>
      <w:r>
        <w:rPr>
          <w:rFonts w:hint="eastAsia" w:ascii="宋体" w:hAnsi="宋体" w:cs="宋体"/>
          <w:spacing w:val="-2"/>
          <w:sz w:val="24"/>
          <w:highlight w:val="none"/>
        </w:rPr>
        <w:t>如果用文字表示的数值与数字表示的数值不一致，以文字表示的数值为准。</w:t>
      </w:r>
    </w:p>
    <w:p>
      <w:pPr>
        <w:shd w:val="clear"/>
        <w:spacing w:line="440" w:lineRule="exact"/>
        <w:ind w:left="1" w:firstLine="240" w:firstLineChars="100"/>
        <w:rPr>
          <w:rFonts w:ascii="宋体" w:hAnsi="宋体" w:cs="宋体"/>
          <w:sz w:val="24"/>
          <w:highlight w:val="none"/>
        </w:rPr>
      </w:pPr>
      <w:r>
        <w:rPr>
          <w:rFonts w:hint="eastAsia" w:ascii="宋体" w:hAnsi="宋体" w:cs="宋体"/>
          <w:sz w:val="24"/>
          <w:highlight w:val="none"/>
        </w:rPr>
        <w:t>（3）如果投标人不同意对其错误的更正，其投标将被拒绝。</w:t>
      </w:r>
    </w:p>
    <w:p>
      <w:pPr>
        <w:shd w:val="clear"/>
        <w:spacing w:line="440" w:lineRule="exact"/>
        <w:ind w:left="1"/>
        <w:rPr>
          <w:rFonts w:ascii="宋体" w:hAnsi="宋体" w:cs="宋体"/>
          <w:sz w:val="24"/>
          <w:highlight w:val="none"/>
        </w:rPr>
      </w:pPr>
      <w:r>
        <w:rPr>
          <w:rFonts w:hint="eastAsia" w:ascii="宋体" w:hAnsi="宋体" w:cs="宋体"/>
          <w:sz w:val="24"/>
          <w:highlight w:val="none"/>
        </w:rPr>
        <w:t>24.4评标委员会可以允许投标文件中存在不构成实质性偏差的不正规、不一致或不规范，但不能损害或影响任何投标人的相对排序。</w:t>
      </w:r>
    </w:p>
    <w:p>
      <w:pPr>
        <w:shd w:val="clear"/>
        <w:spacing w:line="440" w:lineRule="exact"/>
        <w:ind w:left="1"/>
        <w:rPr>
          <w:rFonts w:ascii="宋体" w:hAnsi="宋体" w:cs="宋体"/>
          <w:sz w:val="24"/>
          <w:highlight w:val="none"/>
        </w:rPr>
      </w:pPr>
      <w:r>
        <w:rPr>
          <w:rFonts w:hint="eastAsia" w:ascii="宋体" w:hAnsi="宋体" w:cs="宋体"/>
          <w:sz w:val="24"/>
          <w:highlight w:val="none"/>
        </w:rPr>
        <w:t>24.5实质上没有响应招标文件要求的投标将作无效标处理。投标人不得通过修正或撤消不合要求的偏离或保留从而使投标成为实质上响应的投标。如发生下列情况之一的，其投标将作无效标处理：</w:t>
      </w:r>
    </w:p>
    <w:p>
      <w:pPr>
        <w:shd w:val="clear"/>
        <w:spacing w:line="440" w:lineRule="exact"/>
        <w:ind w:left="1"/>
        <w:rPr>
          <w:rFonts w:ascii="宋体" w:hAnsi="宋体" w:cs="宋体"/>
          <w:sz w:val="24"/>
          <w:highlight w:val="none"/>
        </w:rPr>
      </w:pPr>
      <w:r>
        <w:rPr>
          <w:rFonts w:hint="eastAsia" w:ascii="宋体" w:hAnsi="宋体" w:cs="宋体"/>
          <w:sz w:val="24"/>
          <w:highlight w:val="none"/>
        </w:rPr>
        <w:t>1）无单位盖章并无法定代表人或法定代表人授权的代理人签字或盖章的；</w:t>
      </w:r>
    </w:p>
    <w:p>
      <w:pPr>
        <w:shd w:val="clear"/>
        <w:spacing w:line="440" w:lineRule="exact"/>
        <w:ind w:left="1"/>
        <w:rPr>
          <w:rFonts w:ascii="宋体" w:hAnsi="宋体" w:cs="宋体"/>
          <w:sz w:val="24"/>
          <w:highlight w:val="none"/>
        </w:rPr>
      </w:pPr>
      <w:r>
        <w:rPr>
          <w:rFonts w:hint="eastAsia" w:ascii="宋体" w:hAnsi="宋体" w:cs="宋体"/>
          <w:sz w:val="24"/>
          <w:highlight w:val="none"/>
        </w:rPr>
        <w:t>2）无法定代表人出具的授权委托书的；</w:t>
      </w:r>
    </w:p>
    <w:p>
      <w:pPr>
        <w:shd w:val="clear"/>
        <w:spacing w:line="440" w:lineRule="exact"/>
        <w:ind w:left="1"/>
        <w:rPr>
          <w:rFonts w:ascii="宋体" w:hAnsi="宋体" w:cs="宋体"/>
          <w:sz w:val="24"/>
          <w:highlight w:val="none"/>
        </w:rPr>
      </w:pPr>
      <w:r>
        <w:rPr>
          <w:rFonts w:hint="eastAsia" w:ascii="宋体" w:hAnsi="宋体" w:cs="宋体"/>
          <w:sz w:val="24"/>
          <w:highlight w:val="none"/>
        </w:rPr>
        <w:t>3）未按规定的格式填写，内容不全或关键字迹模糊、无法辨认的；</w:t>
      </w:r>
    </w:p>
    <w:p>
      <w:pPr>
        <w:shd w:val="clear"/>
        <w:spacing w:line="440" w:lineRule="exact"/>
        <w:ind w:left="1"/>
        <w:rPr>
          <w:rFonts w:ascii="宋体" w:hAnsi="宋体" w:cs="宋体"/>
          <w:sz w:val="24"/>
          <w:highlight w:val="none"/>
        </w:rPr>
      </w:pPr>
      <w:r>
        <w:rPr>
          <w:rFonts w:hint="eastAsia" w:ascii="宋体" w:hAnsi="宋体" w:cs="宋体"/>
          <w:sz w:val="24"/>
          <w:highlight w:val="none"/>
        </w:rPr>
        <w:t>4）投标人递交两份或多份内容不同的投标文件，或在一份投标文件中对同一招标货物报有两个或多个报价，且未声明哪一个为最终报价的，按招标文件规定提交备选投标方案的除外；</w:t>
      </w:r>
    </w:p>
    <w:p>
      <w:pPr>
        <w:shd w:val="clear"/>
        <w:spacing w:line="440" w:lineRule="exact"/>
        <w:ind w:left="1"/>
        <w:rPr>
          <w:rFonts w:ascii="宋体" w:hAnsi="宋体" w:cs="宋体"/>
          <w:sz w:val="24"/>
          <w:highlight w:val="none"/>
        </w:rPr>
      </w:pPr>
      <w:r>
        <w:rPr>
          <w:rFonts w:hint="eastAsia" w:ascii="宋体" w:hAnsi="宋体" w:cs="宋体"/>
          <w:sz w:val="24"/>
          <w:highlight w:val="none"/>
        </w:rPr>
        <w:t>5）投标有效期不满足招标文件要求的；</w:t>
      </w:r>
    </w:p>
    <w:p>
      <w:pPr>
        <w:shd w:val="clear"/>
        <w:spacing w:line="440" w:lineRule="exact"/>
        <w:ind w:left="1"/>
        <w:rPr>
          <w:rFonts w:ascii="宋体" w:hAnsi="宋体" w:cs="宋体"/>
          <w:sz w:val="24"/>
          <w:highlight w:val="none"/>
        </w:rPr>
      </w:pPr>
      <w:r>
        <w:rPr>
          <w:rFonts w:hint="eastAsia" w:ascii="宋体" w:hAnsi="宋体" w:cs="宋体"/>
          <w:sz w:val="24"/>
          <w:highlight w:val="none"/>
        </w:rPr>
        <w:t>6）未按招标文件要求提交投标保证金的；</w:t>
      </w:r>
    </w:p>
    <w:p>
      <w:pPr>
        <w:shd w:val="clear"/>
        <w:spacing w:line="440" w:lineRule="exact"/>
        <w:ind w:left="1"/>
        <w:rPr>
          <w:rFonts w:ascii="宋体" w:hAnsi="宋体" w:cs="宋体"/>
          <w:sz w:val="24"/>
          <w:highlight w:val="none"/>
        </w:rPr>
      </w:pPr>
      <w:r>
        <w:rPr>
          <w:rFonts w:hint="eastAsia" w:ascii="宋体" w:hAnsi="宋体" w:cs="宋体"/>
          <w:sz w:val="24"/>
          <w:highlight w:val="none"/>
        </w:rPr>
        <w:t>7）联合体投标未附联合体各方共同投标协议的；</w:t>
      </w:r>
    </w:p>
    <w:p>
      <w:pPr>
        <w:shd w:val="clear"/>
        <w:spacing w:line="440" w:lineRule="exact"/>
        <w:ind w:left="1"/>
        <w:rPr>
          <w:rFonts w:ascii="宋体" w:hAnsi="宋体" w:cs="宋体"/>
          <w:sz w:val="24"/>
          <w:highlight w:val="none"/>
        </w:rPr>
      </w:pPr>
      <w:r>
        <w:rPr>
          <w:rFonts w:hint="eastAsia" w:ascii="宋体" w:hAnsi="宋体" w:cs="宋体"/>
          <w:sz w:val="24"/>
          <w:highlight w:val="none"/>
        </w:rPr>
        <w:t>8）资格证明文件不全的；</w:t>
      </w:r>
    </w:p>
    <w:p>
      <w:pPr>
        <w:shd w:val="clear"/>
        <w:spacing w:line="440" w:lineRule="exact"/>
        <w:ind w:left="1"/>
        <w:rPr>
          <w:rFonts w:ascii="宋体" w:hAnsi="宋体" w:cs="宋体"/>
          <w:sz w:val="24"/>
          <w:highlight w:val="none"/>
        </w:rPr>
      </w:pPr>
      <w:r>
        <w:rPr>
          <w:rFonts w:hint="eastAsia" w:ascii="宋体" w:hAnsi="宋体" w:cs="宋体"/>
          <w:sz w:val="24"/>
          <w:highlight w:val="none"/>
        </w:rPr>
        <w:t>9）招标文件明确规定可以无效标的其他情形。</w:t>
      </w:r>
    </w:p>
    <w:p>
      <w:pPr>
        <w:shd w:val="clear"/>
        <w:spacing w:line="440" w:lineRule="exact"/>
        <w:ind w:left="-13"/>
        <w:rPr>
          <w:rFonts w:ascii="宋体" w:hAnsi="宋体" w:cs="宋体"/>
          <w:sz w:val="24"/>
          <w:highlight w:val="none"/>
        </w:rPr>
      </w:pPr>
      <w:r>
        <w:rPr>
          <w:rFonts w:hint="eastAsia" w:ascii="宋体" w:hAnsi="宋体" w:cs="宋体"/>
          <w:sz w:val="24"/>
          <w:highlight w:val="none"/>
        </w:rPr>
        <w:t>24.6评标委员会对投标文件的判定，只依据投标文件内容本身，而不寻求外部的证据。</w:t>
      </w:r>
    </w:p>
    <w:p>
      <w:pPr>
        <w:pStyle w:val="5"/>
        <w:shd w:val="clear"/>
        <w:spacing w:before="0" w:after="0" w:line="440" w:lineRule="exact"/>
        <w:rPr>
          <w:rFonts w:cs="宋体"/>
          <w:bCs/>
          <w:sz w:val="24"/>
          <w:szCs w:val="24"/>
          <w:highlight w:val="none"/>
        </w:rPr>
      </w:pPr>
      <w:r>
        <w:rPr>
          <w:rFonts w:hint="eastAsia" w:cs="宋体"/>
          <w:bCs/>
          <w:sz w:val="24"/>
          <w:szCs w:val="24"/>
          <w:highlight w:val="none"/>
        </w:rPr>
        <w:t>25、投标的澄清</w:t>
      </w:r>
    </w:p>
    <w:p>
      <w:pPr>
        <w:shd w:val="clear"/>
        <w:spacing w:line="440" w:lineRule="exact"/>
        <w:ind w:left="1"/>
        <w:rPr>
          <w:rFonts w:ascii="宋体" w:hAnsi="宋体" w:cs="宋体"/>
          <w:sz w:val="24"/>
          <w:highlight w:val="none"/>
        </w:rPr>
      </w:pPr>
      <w:r>
        <w:rPr>
          <w:rFonts w:hint="eastAsia" w:ascii="宋体" w:hAnsi="宋体" w:cs="宋体"/>
          <w:sz w:val="24"/>
          <w:highlight w:val="none"/>
        </w:rPr>
        <w:t>25.1在评标期间，评标委员会可要求投标人对其投标文件进行澄清，但澄清不得对投标文件实质内容做任何修改。有关澄清的要求和答复均应以书面形式提交。</w:t>
      </w:r>
    </w:p>
    <w:p>
      <w:pPr>
        <w:pStyle w:val="5"/>
        <w:shd w:val="clear"/>
        <w:spacing w:before="0" w:after="0" w:line="440" w:lineRule="exact"/>
        <w:rPr>
          <w:rFonts w:cs="宋体"/>
          <w:bCs/>
          <w:sz w:val="24"/>
          <w:szCs w:val="24"/>
          <w:highlight w:val="none"/>
        </w:rPr>
      </w:pPr>
      <w:r>
        <w:rPr>
          <w:rFonts w:hint="eastAsia" w:cs="宋体"/>
          <w:bCs/>
          <w:sz w:val="24"/>
          <w:szCs w:val="24"/>
          <w:highlight w:val="none"/>
        </w:rPr>
        <w:t>26、投标的评价</w:t>
      </w:r>
    </w:p>
    <w:p>
      <w:pPr>
        <w:shd w:val="clear"/>
        <w:spacing w:line="440" w:lineRule="exact"/>
        <w:ind w:left="1"/>
        <w:rPr>
          <w:rFonts w:ascii="宋体" w:hAnsi="宋体" w:cs="宋体"/>
          <w:sz w:val="24"/>
          <w:highlight w:val="none"/>
        </w:rPr>
      </w:pPr>
      <w:r>
        <w:rPr>
          <w:rFonts w:hint="eastAsia" w:ascii="宋体" w:hAnsi="宋体" w:cs="宋体"/>
          <w:sz w:val="24"/>
          <w:highlight w:val="none"/>
        </w:rPr>
        <w:t>26.1依法组建的评标委员会将按招标文件的规定，只对确定为实质上响应招标文件要求的投标进行评价和比较。</w:t>
      </w:r>
    </w:p>
    <w:p>
      <w:pPr>
        <w:shd w:val="clear"/>
        <w:spacing w:line="440" w:lineRule="exact"/>
        <w:ind w:left="629" w:hanging="628" w:hangingChars="262"/>
        <w:rPr>
          <w:rFonts w:ascii="宋体" w:hAnsi="宋体" w:cs="宋体"/>
          <w:sz w:val="24"/>
          <w:highlight w:val="none"/>
        </w:rPr>
      </w:pPr>
      <w:r>
        <w:rPr>
          <w:rFonts w:hint="eastAsia" w:ascii="宋体" w:hAnsi="宋体" w:cs="宋体"/>
          <w:sz w:val="24"/>
          <w:highlight w:val="none"/>
        </w:rPr>
        <w:t>26.2依法组建的评标委员会在评标时，还要考虑以下因素：</w:t>
      </w:r>
    </w:p>
    <w:p>
      <w:pPr>
        <w:shd w:val="clear"/>
        <w:spacing w:line="440" w:lineRule="exact"/>
        <w:ind w:left="1"/>
        <w:rPr>
          <w:rFonts w:ascii="宋体" w:hAnsi="宋体" w:cs="宋体"/>
          <w:sz w:val="24"/>
          <w:highlight w:val="none"/>
        </w:rPr>
      </w:pPr>
      <w:r>
        <w:rPr>
          <w:rFonts w:hint="eastAsia" w:ascii="宋体" w:hAnsi="宋体" w:cs="宋体"/>
          <w:sz w:val="24"/>
          <w:highlight w:val="none"/>
        </w:rPr>
        <w:t>1）投标文件中申报的项目工期。</w:t>
      </w:r>
    </w:p>
    <w:p>
      <w:pPr>
        <w:shd w:val="clear"/>
        <w:spacing w:line="440" w:lineRule="exact"/>
        <w:ind w:left="1"/>
        <w:rPr>
          <w:rFonts w:ascii="宋体" w:hAnsi="宋体" w:cs="宋体"/>
          <w:sz w:val="24"/>
          <w:highlight w:val="none"/>
        </w:rPr>
      </w:pPr>
      <w:r>
        <w:rPr>
          <w:rFonts w:hint="eastAsia" w:ascii="宋体" w:hAnsi="宋体" w:cs="宋体"/>
          <w:sz w:val="24"/>
          <w:highlight w:val="none"/>
        </w:rPr>
        <w:t>2）投标文件中申报的付款方式和条件的偏差。</w:t>
      </w:r>
    </w:p>
    <w:p>
      <w:pPr>
        <w:shd w:val="clear"/>
        <w:spacing w:line="440" w:lineRule="exact"/>
        <w:ind w:left="1"/>
        <w:rPr>
          <w:rFonts w:ascii="宋体" w:hAnsi="宋体" w:cs="宋体"/>
          <w:sz w:val="24"/>
          <w:highlight w:val="none"/>
        </w:rPr>
      </w:pPr>
      <w:r>
        <w:rPr>
          <w:rFonts w:hint="eastAsia" w:ascii="宋体" w:hAnsi="宋体" w:cs="宋体"/>
          <w:sz w:val="24"/>
          <w:highlight w:val="none"/>
        </w:rPr>
        <w:t>3）施工组织计划。</w:t>
      </w:r>
    </w:p>
    <w:p>
      <w:pPr>
        <w:shd w:val="clear"/>
        <w:spacing w:line="440" w:lineRule="exact"/>
        <w:ind w:left="1"/>
        <w:rPr>
          <w:rFonts w:ascii="宋体" w:hAnsi="宋体" w:cs="宋体"/>
          <w:sz w:val="24"/>
          <w:highlight w:val="none"/>
        </w:rPr>
      </w:pPr>
      <w:r>
        <w:rPr>
          <w:rFonts w:hint="eastAsia" w:ascii="宋体" w:hAnsi="宋体" w:cs="宋体"/>
          <w:sz w:val="24"/>
          <w:highlight w:val="none"/>
        </w:rPr>
        <w:t>4）配套设备的齐全性（如需要的话）。</w:t>
      </w:r>
    </w:p>
    <w:p>
      <w:pPr>
        <w:shd w:val="clear"/>
        <w:spacing w:line="440" w:lineRule="exact"/>
        <w:ind w:left="1"/>
        <w:rPr>
          <w:rFonts w:hint="eastAsia" w:ascii="宋体" w:hAnsi="宋体" w:eastAsia="宋体" w:cs="宋体"/>
          <w:sz w:val="24"/>
          <w:highlight w:val="none"/>
          <w:lang w:eastAsia="zh-CN"/>
        </w:rPr>
      </w:pPr>
      <w:r>
        <w:rPr>
          <w:rFonts w:hint="eastAsia" w:ascii="宋体" w:hAnsi="宋体" w:cs="宋体"/>
          <w:sz w:val="24"/>
          <w:highlight w:val="none"/>
        </w:rPr>
        <w:t>5）其他额外的评标考虑因素将在“投标资料表”或“技术规格中详细规定</w:t>
      </w:r>
      <w:r>
        <w:rPr>
          <w:rFonts w:hint="eastAsia" w:ascii="宋体" w:hAnsi="宋体" w:cs="宋体"/>
          <w:sz w:val="24"/>
          <w:highlight w:val="none"/>
          <w:lang w:eastAsia="zh-CN"/>
        </w:rPr>
        <w:t>”</w:t>
      </w:r>
    </w:p>
    <w:p>
      <w:pPr>
        <w:pStyle w:val="5"/>
        <w:shd w:val="clear"/>
        <w:spacing w:before="0" w:after="0" w:line="440" w:lineRule="exact"/>
        <w:rPr>
          <w:rFonts w:cs="宋体"/>
          <w:bCs/>
          <w:sz w:val="24"/>
          <w:szCs w:val="24"/>
          <w:highlight w:val="none"/>
        </w:rPr>
      </w:pPr>
      <w:r>
        <w:rPr>
          <w:rFonts w:hint="eastAsia" w:cs="宋体"/>
          <w:bCs/>
          <w:sz w:val="24"/>
          <w:szCs w:val="24"/>
          <w:highlight w:val="none"/>
        </w:rPr>
        <w:t>27、与招标代理机构和招标人接触</w:t>
      </w:r>
    </w:p>
    <w:p>
      <w:pPr>
        <w:shd w:val="clear"/>
        <w:spacing w:line="440" w:lineRule="exact"/>
        <w:rPr>
          <w:rFonts w:ascii="宋体" w:hAnsi="宋体" w:cs="宋体"/>
          <w:sz w:val="24"/>
          <w:highlight w:val="none"/>
        </w:rPr>
      </w:pPr>
      <w:r>
        <w:rPr>
          <w:rFonts w:hint="eastAsia" w:ascii="宋体" w:hAnsi="宋体" w:cs="宋体"/>
          <w:sz w:val="24"/>
          <w:highlight w:val="none"/>
        </w:rPr>
        <w:t>27.1除按本须知规定的外，从开标之日起至授予合同期间，投标人不得就其投标有关的事项与招标代理机构和招标人及评标委员会接触。</w:t>
      </w:r>
    </w:p>
    <w:p>
      <w:pPr>
        <w:shd w:val="clear"/>
        <w:spacing w:line="440" w:lineRule="exact"/>
        <w:rPr>
          <w:rFonts w:ascii="宋体" w:hAnsi="宋体" w:cs="宋体"/>
          <w:sz w:val="24"/>
          <w:highlight w:val="none"/>
        </w:rPr>
      </w:pPr>
      <w:r>
        <w:rPr>
          <w:rFonts w:hint="eastAsia" w:ascii="宋体" w:hAnsi="宋体" w:cs="宋体"/>
          <w:sz w:val="24"/>
          <w:highlight w:val="none"/>
        </w:rPr>
        <w:t>27.2投标人试图对评标委员会的评标、比较或授予合同的决定施加任何不正当影响，都可能导致其投标作无效标处理。</w:t>
      </w:r>
    </w:p>
    <w:p>
      <w:pPr>
        <w:pStyle w:val="4"/>
        <w:shd w:val="clear"/>
        <w:spacing w:before="0" w:after="0" w:line="440" w:lineRule="exact"/>
        <w:rPr>
          <w:rFonts w:cs="宋体"/>
          <w:b w:val="0"/>
          <w:bCs w:val="0"/>
          <w:color w:val="auto"/>
          <w:sz w:val="28"/>
          <w:szCs w:val="28"/>
          <w:highlight w:val="none"/>
        </w:rPr>
      </w:pPr>
      <w:bookmarkStart w:id="24" w:name="_Toc219807850"/>
      <w:bookmarkStart w:id="25" w:name="_Toc176505112"/>
      <w:r>
        <w:rPr>
          <w:rFonts w:hint="eastAsia" w:cs="宋体"/>
          <w:bCs w:val="0"/>
          <w:color w:val="auto"/>
          <w:sz w:val="28"/>
          <w:szCs w:val="28"/>
          <w:highlight w:val="none"/>
        </w:rPr>
        <w:t>六</w:t>
      </w:r>
      <w:r>
        <w:rPr>
          <w:rFonts w:hint="eastAsia" w:cs="宋体"/>
          <w:b w:val="0"/>
          <w:bCs w:val="0"/>
          <w:color w:val="auto"/>
          <w:sz w:val="28"/>
          <w:szCs w:val="28"/>
          <w:highlight w:val="none"/>
        </w:rPr>
        <w:t>、</w:t>
      </w:r>
      <w:r>
        <w:rPr>
          <w:rFonts w:hint="eastAsia" w:cs="宋体"/>
          <w:bCs w:val="0"/>
          <w:color w:val="auto"/>
          <w:sz w:val="28"/>
          <w:szCs w:val="28"/>
          <w:highlight w:val="none"/>
        </w:rPr>
        <w:t>监督与投诉</w:t>
      </w:r>
      <w:bookmarkEnd w:id="24"/>
      <w:bookmarkEnd w:id="25"/>
    </w:p>
    <w:p>
      <w:pPr>
        <w:pStyle w:val="5"/>
        <w:shd w:val="clear"/>
        <w:spacing w:before="0" w:after="0" w:line="440" w:lineRule="exact"/>
        <w:rPr>
          <w:rFonts w:cs="宋体"/>
          <w:bCs/>
          <w:sz w:val="24"/>
          <w:szCs w:val="24"/>
          <w:highlight w:val="none"/>
        </w:rPr>
      </w:pPr>
      <w:r>
        <w:rPr>
          <w:rFonts w:hint="eastAsia" w:cs="宋体"/>
          <w:bCs/>
          <w:sz w:val="24"/>
          <w:szCs w:val="24"/>
          <w:highlight w:val="none"/>
        </w:rPr>
        <w:t>28、网上公示</w:t>
      </w:r>
    </w:p>
    <w:p>
      <w:pPr>
        <w:shd w:val="clear"/>
        <w:spacing w:line="440" w:lineRule="exact"/>
        <w:rPr>
          <w:rFonts w:ascii="宋体" w:hAnsi="宋体" w:cs="宋体"/>
          <w:sz w:val="24"/>
          <w:highlight w:val="none"/>
        </w:rPr>
      </w:pPr>
      <w:r>
        <w:rPr>
          <w:rFonts w:hint="eastAsia" w:ascii="宋体" w:hAnsi="宋体" w:cs="宋体"/>
          <w:sz w:val="24"/>
          <w:highlight w:val="none"/>
        </w:rPr>
        <w:t>28.1评标结束后，招标人按规定在相关网站上公示中标候选人，公示期为3个日历日，投标人或者其他利害关系人对评标结果有异议的，应当在公示期间以书面形式（法定代表人或授权代理人签字并加盖单位公章）当面提出，并提供异议相应条款的证明材料。</w:t>
      </w:r>
    </w:p>
    <w:p>
      <w:pPr>
        <w:shd w:val="clear"/>
        <w:spacing w:line="440" w:lineRule="exact"/>
        <w:rPr>
          <w:rFonts w:ascii="宋体" w:hAnsi="宋体" w:cs="宋体"/>
          <w:sz w:val="24"/>
          <w:highlight w:val="none"/>
        </w:rPr>
      </w:pPr>
      <w:r>
        <w:rPr>
          <w:rFonts w:hint="eastAsia" w:ascii="宋体" w:hAnsi="宋体" w:cs="宋体"/>
          <w:sz w:val="24"/>
          <w:highlight w:val="none"/>
        </w:rPr>
        <w:t>1.异议受理机构及地址：江西省机电设备招标有限公司质疑室；</w:t>
      </w:r>
    </w:p>
    <w:p>
      <w:pPr>
        <w:shd w:val="clear"/>
        <w:spacing w:line="440" w:lineRule="exact"/>
        <w:rPr>
          <w:rFonts w:ascii="宋体" w:hAnsi="宋体" w:cs="宋体"/>
          <w:sz w:val="24"/>
          <w:highlight w:val="none"/>
        </w:rPr>
      </w:pPr>
      <w:r>
        <w:rPr>
          <w:rFonts w:hint="eastAsia" w:ascii="宋体" w:hAnsi="宋体" w:cs="宋体"/>
          <w:sz w:val="24"/>
          <w:highlight w:val="none"/>
        </w:rPr>
        <w:t>地址：江西省南昌市省政府大院北二路92号</w:t>
      </w:r>
    </w:p>
    <w:p>
      <w:pPr>
        <w:shd w:val="clear"/>
        <w:spacing w:line="440" w:lineRule="exact"/>
        <w:rPr>
          <w:rFonts w:ascii="宋体" w:hAnsi="宋体" w:cs="宋体"/>
          <w:sz w:val="24"/>
          <w:highlight w:val="none"/>
        </w:rPr>
      </w:pPr>
      <w:r>
        <w:rPr>
          <w:rFonts w:hint="eastAsia" w:ascii="宋体" w:hAnsi="宋体" w:cs="宋体"/>
          <w:sz w:val="24"/>
          <w:highlight w:val="none"/>
        </w:rPr>
        <w:t>电话：0791-86274941</w:t>
      </w:r>
    </w:p>
    <w:p>
      <w:pPr>
        <w:shd w:val="clear"/>
        <w:spacing w:line="440" w:lineRule="exact"/>
        <w:rPr>
          <w:rFonts w:ascii="宋体" w:hAnsi="宋体" w:cs="宋体"/>
          <w:sz w:val="24"/>
          <w:highlight w:val="none"/>
        </w:rPr>
      </w:pPr>
      <w:r>
        <w:rPr>
          <w:rFonts w:hint="eastAsia" w:ascii="宋体" w:hAnsi="宋体" w:cs="宋体"/>
          <w:sz w:val="24"/>
          <w:highlight w:val="none"/>
        </w:rPr>
        <w:t>2.投诉受理机构及地址：</w:t>
      </w:r>
      <w:r>
        <w:rPr>
          <w:rFonts w:hint="eastAsia" w:ascii="宋体" w:hAnsi="宋体" w:cs="宋体"/>
          <w:color w:val="000000"/>
          <w:sz w:val="24"/>
          <w:highlight w:val="none"/>
        </w:rPr>
        <w:t>石城县恒鑫矿业有限公司。</w:t>
      </w:r>
    </w:p>
    <w:p>
      <w:pPr>
        <w:shd w:val="clear"/>
        <w:spacing w:line="440" w:lineRule="exact"/>
        <w:rPr>
          <w:rFonts w:ascii="宋体" w:hAnsi="宋体" w:cs="宋体"/>
          <w:sz w:val="24"/>
          <w:highlight w:val="none"/>
        </w:rPr>
      </w:pPr>
      <w:r>
        <w:rPr>
          <w:rFonts w:hint="eastAsia" w:ascii="宋体" w:hAnsi="宋体" w:cs="宋体"/>
          <w:sz w:val="24"/>
          <w:highlight w:val="none"/>
        </w:rPr>
        <w:t>地址：江西省赣州市石城县琴江镇迎宾大道55号。</w:t>
      </w:r>
    </w:p>
    <w:p>
      <w:pPr>
        <w:shd w:val="clear"/>
        <w:spacing w:line="440" w:lineRule="exact"/>
        <w:rPr>
          <w:rFonts w:ascii="宋体" w:hAnsi="宋体" w:cs="宋体"/>
          <w:sz w:val="24"/>
          <w:highlight w:val="none"/>
        </w:rPr>
      </w:pPr>
      <w:r>
        <w:rPr>
          <w:rFonts w:hint="eastAsia" w:ascii="宋体" w:hAnsi="宋体" w:cs="宋体"/>
          <w:sz w:val="24"/>
          <w:highlight w:val="none"/>
        </w:rPr>
        <w:t>电话：18070102767</w:t>
      </w:r>
    </w:p>
    <w:p>
      <w:pPr>
        <w:pStyle w:val="5"/>
        <w:shd w:val="clear"/>
        <w:spacing w:before="0" w:after="0" w:line="440" w:lineRule="exact"/>
        <w:rPr>
          <w:rFonts w:cs="宋体"/>
          <w:bCs/>
          <w:sz w:val="24"/>
          <w:szCs w:val="24"/>
          <w:highlight w:val="none"/>
        </w:rPr>
      </w:pPr>
      <w:r>
        <w:rPr>
          <w:rFonts w:hint="eastAsia" w:cs="宋体"/>
          <w:bCs/>
          <w:sz w:val="24"/>
          <w:szCs w:val="24"/>
          <w:highlight w:val="none"/>
        </w:rPr>
        <w:t>29、监督与投诉</w:t>
      </w:r>
    </w:p>
    <w:p>
      <w:pPr>
        <w:shd w:val="clear"/>
        <w:spacing w:line="440" w:lineRule="exact"/>
        <w:ind w:left="567" w:hanging="567"/>
        <w:rPr>
          <w:rFonts w:ascii="宋体" w:hAnsi="宋体" w:cs="宋体"/>
          <w:sz w:val="24"/>
          <w:highlight w:val="none"/>
        </w:rPr>
      </w:pPr>
      <w:r>
        <w:rPr>
          <w:rFonts w:hint="eastAsia" w:ascii="宋体" w:hAnsi="宋体" w:cs="宋体"/>
          <w:sz w:val="24"/>
          <w:highlight w:val="none"/>
        </w:rPr>
        <w:t>29.1投诉应当严格遵照《工程建设项目招标投标活动投诉处理办法》（国家发改委等七部委局第11号令）的要求及其它相关法规要求。</w:t>
      </w:r>
    </w:p>
    <w:p>
      <w:pPr>
        <w:shd w:val="clear"/>
        <w:spacing w:line="440" w:lineRule="exact"/>
        <w:ind w:left="567" w:hanging="567"/>
        <w:rPr>
          <w:rFonts w:ascii="宋体" w:hAnsi="宋体" w:cs="宋体"/>
          <w:sz w:val="24"/>
          <w:highlight w:val="none"/>
        </w:rPr>
      </w:pPr>
      <w:r>
        <w:rPr>
          <w:rFonts w:hint="eastAsia" w:ascii="宋体" w:hAnsi="宋体" w:cs="宋体"/>
          <w:sz w:val="24"/>
          <w:highlight w:val="none"/>
        </w:rPr>
        <w:t>29.2投诉人有下列情况的，视为不正当投诉，由监督部门驳回投诉：</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1.以投诉为名排斥竞争对手的；</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2.进行虚假、恶意投诉的；</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3.阻碍招标投标活动正常进行的；</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4.投诉人不是本次招标投标活动的参与者，或者与投诉项目无任何利害关系；</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5.投诉事项不具体，且未提供有效线索，难以查证的；</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6.投诉书未署具投诉人真实姓名、签字和有效联系方式的；以法人名义投诉的，投诉书未经法定代表人签字并加盖单位公章的；</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7.超过投诉时效的（未在网上公示期间进行投诉）；</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8.已经作出处理决定，并且投诉人没有提出新的证据的；</w:t>
      </w:r>
    </w:p>
    <w:p>
      <w:pPr>
        <w:shd w:val="clear"/>
        <w:spacing w:line="440" w:lineRule="exact"/>
        <w:ind w:left="100" w:leftChars="50" w:firstLine="360" w:firstLineChars="150"/>
        <w:rPr>
          <w:rFonts w:ascii="宋体" w:hAnsi="宋体" w:cs="宋体"/>
          <w:sz w:val="24"/>
          <w:highlight w:val="none"/>
        </w:rPr>
      </w:pPr>
      <w:r>
        <w:rPr>
          <w:rFonts w:hint="eastAsia" w:ascii="宋体" w:hAnsi="宋体" w:cs="宋体"/>
          <w:sz w:val="24"/>
          <w:highlight w:val="none"/>
        </w:rPr>
        <w:t xml:space="preserve">9.投诉事项已进入行政复议或行政诉讼程序的。 </w:t>
      </w:r>
    </w:p>
    <w:p>
      <w:pPr>
        <w:pStyle w:val="5"/>
        <w:shd w:val="clear"/>
        <w:spacing w:before="0" w:after="0" w:line="440" w:lineRule="exact"/>
        <w:rPr>
          <w:rFonts w:cs="宋体"/>
          <w:bCs/>
          <w:sz w:val="24"/>
          <w:szCs w:val="24"/>
          <w:highlight w:val="none"/>
        </w:rPr>
      </w:pPr>
      <w:r>
        <w:rPr>
          <w:rFonts w:hint="eastAsia" w:cs="宋体"/>
          <w:bCs/>
          <w:sz w:val="24"/>
          <w:szCs w:val="24"/>
          <w:highlight w:val="none"/>
        </w:rPr>
        <w:t>30、接受和拒绝任何或所有投标的权利</w:t>
      </w:r>
    </w:p>
    <w:p>
      <w:pPr>
        <w:shd w:val="clear"/>
        <w:spacing w:line="440" w:lineRule="exact"/>
        <w:ind w:left="567" w:hanging="567"/>
        <w:rPr>
          <w:rFonts w:ascii="宋体" w:hAnsi="宋体" w:cs="宋体"/>
          <w:sz w:val="24"/>
          <w:highlight w:val="none"/>
        </w:rPr>
      </w:pPr>
      <w:r>
        <w:rPr>
          <w:rFonts w:hint="eastAsia" w:ascii="宋体" w:hAnsi="宋体" w:cs="宋体"/>
          <w:sz w:val="24"/>
          <w:highlight w:val="none"/>
        </w:rPr>
        <w:t>30.1 评标委员会保留在授标之前任何时候，接受或拒绝任何投标，以及取消招标并拒绝所有投标的权利，对因此而受影响的投标人不承担任何责任。</w:t>
      </w:r>
    </w:p>
    <w:p>
      <w:pPr>
        <w:pStyle w:val="4"/>
        <w:shd w:val="clear"/>
        <w:spacing w:before="0" w:after="0" w:line="440" w:lineRule="exact"/>
        <w:rPr>
          <w:rFonts w:cs="宋体"/>
          <w:bCs w:val="0"/>
          <w:color w:val="auto"/>
          <w:sz w:val="28"/>
          <w:szCs w:val="28"/>
          <w:highlight w:val="none"/>
        </w:rPr>
      </w:pPr>
      <w:bookmarkStart w:id="26" w:name="_Toc219807851"/>
      <w:r>
        <w:rPr>
          <w:rFonts w:hint="eastAsia" w:cs="宋体"/>
          <w:bCs w:val="0"/>
          <w:color w:val="auto"/>
          <w:sz w:val="28"/>
          <w:szCs w:val="28"/>
          <w:highlight w:val="none"/>
        </w:rPr>
        <w:t>七、授予合同</w:t>
      </w:r>
      <w:bookmarkEnd w:id="26"/>
    </w:p>
    <w:p>
      <w:pPr>
        <w:pStyle w:val="5"/>
        <w:shd w:val="clear"/>
        <w:spacing w:before="0" w:after="0" w:line="440" w:lineRule="exact"/>
        <w:rPr>
          <w:rFonts w:cs="宋体"/>
          <w:bCs/>
          <w:sz w:val="24"/>
          <w:szCs w:val="24"/>
          <w:highlight w:val="none"/>
        </w:rPr>
      </w:pPr>
      <w:r>
        <w:rPr>
          <w:rFonts w:hint="eastAsia" w:cs="宋体"/>
          <w:bCs/>
          <w:sz w:val="24"/>
          <w:szCs w:val="24"/>
          <w:highlight w:val="none"/>
        </w:rPr>
        <w:t>31、最终审查</w:t>
      </w:r>
    </w:p>
    <w:p>
      <w:pPr>
        <w:shd w:val="clear"/>
        <w:spacing w:line="440" w:lineRule="exact"/>
        <w:rPr>
          <w:rFonts w:ascii="宋体" w:hAnsi="宋体" w:cs="宋体"/>
          <w:sz w:val="24"/>
          <w:highlight w:val="none"/>
        </w:rPr>
      </w:pPr>
      <w:r>
        <w:rPr>
          <w:rFonts w:hint="eastAsia" w:ascii="宋体" w:hAnsi="宋体" w:cs="宋体"/>
          <w:sz w:val="24"/>
          <w:highlight w:val="none"/>
        </w:rPr>
        <w:t>31.1 最终审查工作如需投标人配合，投标人必须接受。</w:t>
      </w:r>
    </w:p>
    <w:p>
      <w:pPr>
        <w:shd w:val="clear"/>
        <w:spacing w:line="440" w:lineRule="exact"/>
        <w:rPr>
          <w:rFonts w:ascii="宋体" w:hAnsi="宋体" w:cs="宋体"/>
          <w:sz w:val="24"/>
          <w:highlight w:val="none"/>
        </w:rPr>
      </w:pPr>
      <w:r>
        <w:rPr>
          <w:rFonts w:hint="eastAsia" w:ascii="宋体" w:hAnsi="宋体" w:cs="宋体"/>
          <w:sz w:val="24"/>
          <w:highlight w:val="none"/>
        </w:rPr>
        <w:t>31.2 如果投标人提供虚假材料和文件骗取中标的，一经发现取消投标资格，中标的则没收投标保证金并取消中标资格和废除已签定的经济合同。</w:t>
      </w:r>
    </w:p>
    <w:p>
      <w:pPr>
        <w:shd w:val="clear"/>
        <w:spacing w:line="440" w:lineRule="exact"/>
        <w:rPr>
          <w:rFonts w:ascii="宋体" w:hAnsi="宋体" w:cs="宋体"/>
          <w:sz w:val="24"/>
          <w:highlight w:val="none"/>
        </w:rPr>
      </w:pPr>
      <w:r>
        <w:rPr>
          <w:rFonts w:hint="eastAsia" w:ascii="宋体" w:hAnsi="宋体" w:cs="宋体"/>
          <w:sz w:val="24"/>
          <w:highlight w:val="none"/>
        </w:rPr>
        <w:t>31.3最低投标报价不作为中标的保证。</w:t>
      </w:r>
    </w:p>
    <w:p>
      <w:pPr>
        <w:pStyle w:val="5"/>
        <w:shd w:val="clear"/>
        <w:spacing w:before="0" w:after="0" w:line="440" w:lineRule="exact"/>
        <w:rPr>
          <w:rFonts w:cs="宋体"/>
          <w:bCs/>
          <w:sz w:val="24"/>
          <w:szCs w:val="24"/>
          <w:highlight w:val="none"/>
        </w:rPr>
      </w:pPr>
      <w:r>
        <w:rPr>
          <w:rFonts w:hint="eastAsia" w:cs="宋体"/>
          <w:bCs/>
          <w:sz w:val="24"/>
          <w:szCs w:val="24"/>
          <w:highlight w:val="none"/>
        </w:rPr>
        <w:t>32、中标通知书</w:t>
      </w:r>
    </w:p>
    <w:p>
      <w:pPr>
        <w:shd w:val="clear"/>
        <w:spacing w:line="440" w:lineRule="exact"/>
        <w:ind w:left="567" w:hanging="567"/>
        <w:rPr>
          <w:rFonts w:ascii="宋体" w:hAnsi="宋体" w:cs="宋体"/>
          <w:sz w:val="24"/>
          <w:highlight w:val="none"/>
        </w:rPr>
      </w:pPr>
      <w:r>
        <w:rPr>
          <w:rFonts w:hint="eastAsia" w:ascii="宋体" w:hAnsi="宋体" w:cs="宋体"/>
          <w:sz w:val="24"/>
          <w:highlight w:val="none"/>
        </w:rPr>
        <w:t>32.1 公示期结束后，将向中标人发出中标通知书。</w:t>
      </w:r>
    </w:p>
    <w:p>
      <w:pPr>
        <w:shd w:val="clear"/>
        <w:spacing w:line="440" w:lineRule="exact"/>
        <w:ind w:left="567" w:hanging="567"/>
        <w:rPr>
          <w:rFonts w:ascii="宋体" w:hAnsi="宋体" w:cs="宋体"/>
          <w:sz w:val="24"/>
          <w:highlight w:val="none"/>
        </w:rPr>
      </w:pPr>
      <w:r>
        <w:rPr>
          <w:rFonts w:hint="eastAsia" w:ascii="宋体" w:hAnsi="宋体" w:cs="宋体"/>
          <w:sz w:val="24"/>
          <w:highlight w:val="none"/>
        </w:rPr>
        <w:t>32.2 中标通知书是合同的一个组成部分。</w:t>
      </w:r>
    </w:p>
    <w:p>
      <w:pPr>
        <w:pStyle w:val="5"/>
        <w:shd w:val="clear"/>
        <w:spacing w:before="0" w:after="0" w:line="440" w:lineRule="exact"/>
        <w:rPr>
          <w:rFonts w:cs="宋体"/>
          <w:bCs/>
          <w:sz w:val="24"/>
          <w:szCs w:val="24"/>
          <w:highlight w:val="none"/>
        </w:rPr>
      </w:pPr>
      <w:r>
        <w:rPr>
          <w:rFonts w:hint="eastAsia" w:cs="宋体"/>
          <w:bCs/>
          <w:sz w:val="24"/>
          <w:szCs w:val="24"/>
          <w:highlight w:val="none"/>
        </w:rPr>
        <w:t>33、签订合同</w:t>
      </w:r>
    </w:p>
    <w:p>
      <w:pPr>
        <w:shd w:val="clear"/>
        <w:spacing w:line="440" w:lineRule="exact"/>
        <w:rPr>
          <w:rFonts w:ascii="宋体" w:hAnsi="宋体" w:cs="宋体"/>
          <w:sz w:val="24"/>
          <w:highlight w:val="none"/>
        </w:rPr>
      </w:pPr>
      <w:r>
        <w:rPr>
          <w:rFonts w:hint="eastAsia" w:ascii="宋体" w:hAnsi="宋体" w:cs="宋体"/>
          <w:sz w:val="24"/>
          <w:highlight w:val="none"/>
        </w:rPr>
        <w:t>33.1 中标人应按中标通知书规定的时间、地点与招标人签订合同，否则按开标后撤回投标处理。</w:t>
      </w:r>
    </w:p>
    <w:p>
      <w:pPr>
        <w:shd w:val="clear"/>
        <w:spacing w:line="440" w:lineRule="exact"/>
        <w:rPr>
          <w:rFonts w:ascii="宋体" w:hAnsi="宋体" w:cs="宋体"/>
          <w:sz w:val="24"/>
          <w:highlight w:val="none"/>
        </w:rPr>
      </w:pPr>
      <w:r>
        <w:rPr>
          <w:rFonts w:hint="eastAsia" w:ascii="宋体" w:hAnsi="宋体" w:cs="宋体"/>
          <w:sz w:val="24"/>
          <w:highlight w:val="none"/>
        </w:rPr>
        <w:t>33.2 招标文件、中标人的投标文件及评标过程中有关澄清文件均应作为合同附件。</w:t>
      </w:r>
    </w:p>
    <w:p>
      <w:pPr>
        <w:shd w:val="clear"/>
        <w:spacing w:line="440" w:lineRule="exact"/>
        <w:rPr>
          <w:rFonts w:ascii="宋体" w:hAnsi="宋体" w:cs="宋体"/>
          <w:sz w:val="24"/>
          <w:highlight w:val="none"/>
        </w:rPr>
      </w:pPr>
      <w:r>
        <w:rPr>
          <w:rFonts w:hint="eastAsia" w:ascii="宋体" w:hAnsi="宋体" w:cs="宋体"/>
          <w:sz w:val="24"/>
          <w:highlight w:val="none"/>
        </w:rPr>
        <w:t>33.3 合同履行中，招标人需追加与合同标的相同的产品或者服务的，在不改变合同其他条款的前提下，可以与投标人协商签订补充合同。</w:t>
      </w:r>
    </w:p>
    <w:p>
      <w:pPr>
        <w:shd w:val="clear"/>
        <w:adjustRightInd w:val="0"/>
        <w:snapToGrid w:val="0"/>
        <w:spacing w:line="440" w:lineRule="exact"/>
        <w:jc w:val="center"/>
        <w:outlineLvl w:val="0"/>
        <w:rPr>
          <w:rFonts w:ascii="宋体" w:hAnsi="宋体" w:cs="宋体"/>
          <w:b/>
          <w:spacing w:val="-8"/>
          <w:sz w:val="36"/>
          <w:szCs w:val="36"/>
          <w:highlight w:val="none"/>
        </w:rPr>
      </w:pPr>
      <w:r>
        <w:rPr>
          <w:rFonts w:hint="eastAsia" w:ascii="宋体" w:hAnsi="宋体" w:cs="宋体"/>
          <w:sz w:val="24"/>
          <w:highlight w:val="none"/>
        </w:rPr>
        <w:br w:type="page"/>
      </w:r>
      <w:r>
        <w:rPr>
          <w:rFonts w:hint="eastAsia" w:ascii="宋体" w:hAnsi="宋体" w:cs="宋体"/>
          <w:b/>
          <w:bCs/>
          <w:sz w:val="36"/>
          <w:szCs w:val="36"/>
          <w:highlight w:val="none"/>
        </w:rPr>
        <w:t>第三章 合同主要条款</w:t>
      </w:r>
    </w:p>
    <w:p>
      <w:pPr>
        <w:shd w:val="clear"/>
        <w:spacing w:line="480" w:lineRule="exact"/>
        <w:jc w:val="center"/>
        <w:rPr>
          <w:rFonts w:ascii="宋体" w:hAnsi="宋体" w:cs="宋体"/>
          <w:b/>
          <w:spacing w:val="-8"/>
          <w:sz w:val="32"/>
          <w:szCs w:val="32"/>
          <w:highlight w:val="none"/>
        </w:rPr>
      </w:pPr>
    </w:p>
    <w:p>
      <w:pPr>
        <w:shd w:val="clear"/>
        <w:snapToGrid w:val="0"/>
        <w:spacing w:line="360" w:lineRule="exact"/>
        <w:rPr>
          <w:rFonts w:ascii="宋体" w:hAnsi="宋体" w:cs="宋体"/>
          <w:sz w:val="24"/>
          <w:highlight w:val="none"/>
        </w:rPr>
      </w:pPr>
    </w:p>
    <w:p>
      <w:pPr>
        <w:shd w:val="clear"/>
        <w:snapToGrid w:val="0"/>
        <w:spacing w:line="360" w:lineRule="exact"/>
        <w:rPr>
          <w:rFonts w:ascii="宋体" w:hAnsi="宋体" w:cs="宋体"/>
          <w:b/>
          <w:sz w:val="24"/>
          <w:highlight w:val="none"/>
        </w:rPr>
      </w:pPr>
      <w:r>
        <w:rPr>
          <w:rFonts w:hint="eastAsia" w:ascii="宋体" w:hAnsi="宋体" w:cs="宋体"/>
          <w:b/>
          <w:bCs/>
          <w:sz w:val="24"/>
          <w:highlight w:val="none"/>
        </w:rPr>
        <w:t>第一条：</w:t>
      </w:r>
      <w:r>
        <w:rPr>
          <w:rFonts w:hint="eastAsia" w:ascii="宋体" w:hAnsi="宋体" w:cs="宋体"/>
          <w:b/>
          <w:sz w:val="24"/>
          <w:highlight w:val="none"/>
        </w:rPr>
        <w:t>承包方主要工作内容：</w:t>
      </w:r>
    </w:p>
    <w:p>
      <w:pPr>
        <w:shd w:val="clear"/>
        <w:snapToGrid w:val="0"/>
        <w:spacing w:line="360" w:lineRule="exact"/>
        <w:ind w:firstLine="480" w:firstLineChars="200"/>
        <w:rPr>
          <w:rFonts w:ascii="宋体" w:hAnsi="宋体" w:cs="宋体"/>
          <w:sz w:val="24"/>
          <w:highlight w:val="none"/>
        </w:rPr>
      </w:pPr>
      <w:r>
        <w:rPr>
          <w:rFonts w:hint="eastAsia" w:ascii="宋体" w:hAnsi="宋体" w:cs="宋体"/>
          <w:sz w:val="24"/>
          <w:highlight w:val="none"/>
        </w:rPr>
        <w:t>主要包括但不限于：</w:t>
      </w:r>
    </w:p>
    <w:p>
      <w:pPr>
        <w:numPr>
          <w:ilvl w:val="0"/>
          <w:numId w:val="10"/>
        </w:numPr>
        <w:shd w:val="clear"/>
        <w:tabs>
          <w:tab w:val="left" w:pos="900"/>
        </w:tabs>
        <w:spacing w:line="480" w:lineRule="exact"/>
        <w:rPr>
          <w:rFonts w:ascii="宋体" w:hAnsi="宋体" w:cs="宋体"/>
          <w:bCs/>
          <w:sz w:val="24"/>
          <w:highlight w:val="none"/>
        </w:rPr>
      </w:pPr>
      <w:bookmarkStart w:id="27" w:name="OLE_LINK1"/>
      <w:r>
        <w:rPr>
          <w:rFonts w:hint="eastAsia" w:ascii="宋体" w:hAnsi="宋体" w:cs="宋体"/>
          <w:bCs/>
          <w:sz w:val="24"/>
          <w:highlight w:val="none"/>
        </w:rPr>
        <w:t>工艺及动力设备安装：从粗碎受料仓至骨料储存散装系统整条生产线所有</w:t>
      </w:r>
      <w:r>
        <w:rPr>
          <w:rFonts w:hint="eastAsia" w:ascii="宋体" w:hAnsi="宋体" w:cs="宋体"/>
          <w:sz w:val="24"/>
          <w:szCs w:val="22"/>
          <w:highlight w:val="none"/>
        </w:rPr>
        <w:t>工艺设备及动力设备</w:t>
      </w:r>
      <w:r>
        <w:rPr>
          <w:rFonts w:hint="eastAsia" w:ascii="宋体" w:hAnsi="宋体" w:cs="宋体"/>
          <w:bCs/>
          <w:sz w:val="24"/>
          <w:highlight w:val="none"/>
        </w:rPr>
        <w:t>的安装和调试（不含主要破碎设备的采购）；</w:t>
      </w:r>
    </w:p>
    <w:p>
      <w:pPr>
        <w:numPr>
          <w:ilvl w:val="0"/>
          <w:numId w:val="10"/>
        </w:numPr>
        <w:shd w:val="clear"/>
        <w:tabs>
          <w:tab w:val="left" w:pos="900"/>
        </w:tabs>
        <w:spacing w:line="480" w:lineRule="exact"/>
        <w:rPr>
          <w:rFonts w:ascii="宋体" w:hAnsi="宋体" w:cs="宋体"/>
          <w:bCs/>
          <w:sz w:val="24"/>
          <w:highlight w:val="none"/>
        </w:rPr>
      </w:pPr>
      <w:r>
        <w:rPr>
          <w:rFonts w:hint="eastAsia" w:ascii="宋体" w:hAnsi="宋体" w:cs="宋体"/>
          <w:bCs/>
          <w:sz w:val="24"/>
          <w:highlight w:val="none"/>
        </w:rPr>
        <w:t>除尘设备（含空压机）的安装和调试（含管道采购、制作、安装，不含除尘设备采购）；</w:t>
      </w:r>
    </w:p>
    <w:p>
      <w:pPr>
        <w:numPr>
          <w:ilvl w:val="0"/>
          <w:numId w:val="10"/>
        </w:numPr>
        <w:shd w:val="clear"/>
        <w:tabs>
          <w:tab w:val="left" w:pos="900"/>
        </w:tabs>
        <w:spacing w:line="480" w:lineRule="exact"/>
        <w:rPr>
          <w:rFonts w:ascii="宋体" w:hAnsi="宋体" w:cs="宋体"/>
          <w:bCs/>
          <w:sz w:val="24"/>
          <w:highlight w:val="none"/>
        </w:rPr>
      </w:pPr>
      <w:r>
        <w:rPr>
          <w:rFonts w:hint="eastAsia" w:ascii="宋体" w:hAnsi="宋体" w:cs="宋体"/>
          <w:bCs/>
          <w:sz w:val="24"/>
          <w:highlight w:val="none"/>
        </w:rPr>
        <w:t>电气及自动控制设备：低压配电及动力柜（与自动化控制连为一体）和无功补偿柜的深化设计、供货、安装和调试。招标人保留根据设计单位后期提出的设计要求调整的权利。</w:t>
      </w:r>
    </w:p>
    <w:p>
      <w:pPr>
        <w:numPr>
          <w:ilvl w:val="0"/>
          <w:numId w:val="10"/>
        </w:numPr>
        <w:shd w:val="clear"/>
        <w:tabs>
          <w:tab w:val="left" w:pos="900"/>
        </w:tabs>
        <w:spacing w:line="480" w:lineRule="exact"/>
        <w:rPr>
          <w:rFonts w:ascii="宋体" w:hAnsi="宋体" w:cs="宋体"/>
          <w:bCs/>
          <w:sz w:val="24"/>
          <w:highlight w:val="none"/>
        </w:rPr>
      </w:pPr>
      <w:r>
        <w:rPr>
          <w:rFonts w:hint="eastAsia" w:ascii="宋体" w:hAnsi="宋体" w:cs="宋体"/>
          <w:bCs/>
          <w:sz w:val="24"/>
          <w:highlight w:val="none"/>
        </w:rPr>
        <w:t>生产智能管理系统：整个智能控制系统（含生产管理、自动售料、数字监控系统等）整套设备深化设计、供货、安装和调试。主要包括但不限于：系统所需服务器、电脑、打印机、控制程序、系统安装和连接所需要的光纤、控制电缆、显示屏和操作台、操作工具、储存器和网络所需的辅助设备，提供试运行阶段（三个月）的技术人员驻厂服务；</w:t>
      </w:r>
    </w:p>
    <w:p>
      <w:pPr>
        <w:numPr>
          <w:ilvl w:val="0"/>
          <w:numId w:val="10"/>
        </w:numPr>
        <w:shd w:val="clear"/>
        <w:tabs>
          <w:tab w:val="left" w:pos="900"/>
        </w:tabs>
        <w:spacing w:line="480" w:lineRule="exact"/>
        <w:rPr>
          <w:rFonts w:ascii="宋体" w:hAnsi="宋体" w:cs="宋体"/>
          <w:bCs/>
          <w:sz w:val="24"/>
          <w:szCs w:val="22"/>
          <w:highlight w:val="none"/>
        </w:rPr>
      </w:pPr>
      <w:r>
        <w:rPr>
          <w:rFonts w:hint="eastAsia" w:ascii="宋体" w:hAnsi="宋体" w:cs="宋体"/>
          <w:bCs/>
          <w:sz w:val="24"/>
          <w:szCs w:val="22"/>
          <w:highlight w:val="none"/>
        </w:rPr>
        <w:t>电缆敷设：生产线各电气设备、控制设备、机电设备之间的电力电缆敷设连接施工（电力电缆甲供）；</w:t>
      </w:r>
    </w:p>
    <w:p>
      <w:pPr>
        <w:numPr>
          <w:ilvl w:val="0"/>
          <w:numId w:val="10"/>
        </w:numPr>
        <w:shd w:val="clear"/>
        <w:tabs>
          <w:tab w:val="left" w:pos="900"/>
        </w:tabs>
        <w:spacing w:line="480" w:lineRule="exact"/>
        <w:rPr>
          <w:rFonts w:ascii="宋体" w:hAnsi="宋体" w:cs="宋体"/>
          <w:bCs/>
          <w:sz w:val="24"/>
          <w:highlight w:val="none"/>
        </w:rPr>
      </w:pPr>
      <w:r>
        <w:rPr>
          <w:rFonts w:hint="eastAsia" w:ascii="宋体" w:hAnsi="宋体" w:cs="宋体"/>
          <w:bCs/>
          <w:sz w:val="24"/>
          <w:highlight w:val="none"/>
        </w:rPr>
        <w:t>照明：包含厂区道路照明、厂区室外照明、生产线作业面照明、生产线各廊道内照明供货、安装及调试；</w:t>
      </w:r>
    </w:p>
    <w:p>
      <w:pPr>
        <w:numPr>
          <w:ilvl w:val="0"/>
          <w:numId w:val="10"/>
        </w:numPr>
        <w:shd w:val="clear"/>
        <w:tabs>
          <w:tab w:val="left" w:pos="900"/>
        </w:tabs>
        <w:spacing w:line="480" w:lineRule="exact"/>
        <w:rPr>
          <w:rFonts w:ascii="宋体" w:hAnsi="宋体" w:cs="宋体"/>
          <w:bCs/>
          <w:sz w:val="24"/>
          <w:szCs w:val="22"/>
          <w:highlight w:val="none"/>
        </w:rPr>
      </w:pPr>
      <w:r>
        <w:rPr>
          <w:rFonts w:hint="eastAsia" w:ascii="宋体" w:hAnsi="宋体" w:cs="宋体"/>
          <w:bCs/>
          <w:sz w:val="24"/>
          <w:szCs w:val="22"/>
          <w:highlight w:val="none"/>
        </w:rPr>
        <w:t>防雷接地：生产线及供电系统防雷接地工程的供货、安装及调试；</w:t>
      </w:r>
    </w:p>
    <w:p>
      <w:pPr>
        <w:numPr>
          <w:ilvl w:val="0"/>
          <w:numId w:val="10"/>
        </w:numPr>
        <w:shd w:val="clear"/>
        <w:tabs>
          <w:tab w:val="left" w:pos="900"/>
        </w:tabs>
        <w:spacing w:line="480" w:lineRule="exact"/>
        <w:rPr>
          <w:rFonts w:ascii="宋体" w:hAnsi="宋体" w:cs="宋体"/>
          <w:bCs/>
          <w:sz w:val="24"/>
          <w:highlight w:val="none"/>
        </w:rPr>
      </w:pPr>
      <w:r>
        <w:rPr>
          <w:rFonts w:hint="eastAsia" w:ascii="宋体" w:hAnsi="宋体" w:cs="宋体"/>
          <w:bCs/>
          <w:sz w:val="24"/>
          <w:highlight w:val="none"/>
        </w:rPr>
        <w:t>带式输送系统的安装和调试（输送机和橡胶输送带甲供）；</w:t>
      </w:r>
    </w:p>
    <w:p>
      <w:pPr>
        <w:numPr>
          <w:ilvl w:val="0"/>
          <w:numId w:val="10"/>
        </w:numPr>
        <w:shd w:val="clear"/>
        <w:tabs>
          <w:tab w:val="left" w:pos="900"/>
        </w:tabs>
        <w:spacing w:line="480" w:lineRule="exact"/>
        <w:rPr>
          <w:highlight w:val="none"/>
        </w:rPr>
      </w:pPr>
      <w:r>
        <w:rPr>
          <w:rFonts w:hint="eastAsia" w:ascii="宋体" w:hAnsi="宋体" w:cs="宋体"/>
          <w:bCs/>
          <w:sz w:val="24"/>
          <w:highlight w:val="none"/>
        </w:rPr>
        <w:t>钢结构制作安装：生产线钢架及支架的制作安装，皮带输送系统落地支架的制作和安装，整个生产线其他非标准件和标准件钢结构的制作和安装，钢结构的除锈和油漆的施工，包含所有所需材料采购；</w:t>
      </w:r>
    </w:p>
    <w:p>
      <w:pPr>
        <w:numPr>
          <w:ilvl w:val="0"/>
          <w:numId w:val="10"/>
        </w:numPr>
        <w:shd w:val="clear"/>
        <w:tabs>
          <w:tab w:val="left" w:pos="900"/>
        </w:tabs>
        <w:spacing w:line="480" w:lineRule="exact"/>
        <w:rPr>
          <w:rFonts w:ascii="宋体" w:hAnsi="宋体" w:cs="宋体"/>
          <w:b/>
          <w:sz w:val="24"/>
          <w:highlight w:val="none"/>
        </w:rPr>
      </w:pPr>
      <w:r>
        <w:rPr>
          <w:rFonts w:hint="eastAsia" w:ascii="宋体" w:hAnsi="宋体" w:cs="宋体"/>
          <w:bCs/>
          <w:sz w:val="24"/>
          <w:highlight w:val="none"/>
        </w:rPr>
        <w:t>生产线调试：各设备的单机调试和生产线的联动调试，同时通过调试后组织带负荷试运行并最终达到生产效果、满足相关产能、质量和环保及安全要求</w:t>
      </w:r>
      <w:r>
        <w:rPr>
          <w:rFonts w:hint="eastAsia" w:ascii="宋体" w:hAnsi="宋体" w:cs="宋体"/>
          <w:b/>
          <w:sz w:val="24"/>
          <w:highlight w:val="none"/>
        </w:rPr>
        <w:t>。</w:t>
      </w:r>
    </w:p>
    <w:p>
      <w:pPr>
        <w:numPr>
          <w:ilvl w:val="0"/>
          <w:numId w:val="10"/>
        </w:numPr>
        <w:shd w:val="clear"/>
        <w:tabs>
          <w:tab w:val="left" w:pos="900"/>
        </w:tabs>
        <w:spacing w:line="480" w:lineRule="exact"/>
        <w:rPr>
          <w:rFonts w:ascii="宋体" w:hAnsi="宋体" w:cs="宋体"/>
          <w:b/>
          <w:color w:val="FF0000"/>
          <w:sz w:val="24"/>
          <w:highlight w:val="none"/>
        </w:rPr>
      </w:pPr>
      <w:r>
        <w:rPr>
          <w:rFonts w:hint="eastAsia" w:ascii="宋体" w:hAnsi="宋体" w:cs="宋体"/>
          <w:bCs/>
          <w:sz w:val="24"/>
          <w:szCs w:val="22"/>
          <w:highlight w:val="none"/>
        </w:rPr>
        <w:t>第①-④项需提供随机备品备件、专用工具、技术资料、技术培训等。</w:t>
      </w:r>
    </w:p>
    <w:p>
      <w:pPr>
        <w:numPr>
          <w:ilvl w:val="0"/>
          <w:numId w:val="10"/>
        </w:numPr>
        <w:shd w:val="clear"/>
        <w:tabs>
          <w:tab w:val="left" w:pos="900"/>
        </w:tabs>
        <w:spacing w:line="480" w:lineRule="exact"/>
        <w:rPr>
          <w:rFonts w:ascii="宋体" w:hAnsi="宋体" w:cs="宋体"/>
          <w:b/>
          <w:color w:val="FF0000"/>
          <w:sz w:val="24"/>
          <w:highlight w:val="none"/>
        </w:rPr>
      </w:pPr>
      <w:r>
        <w:rPr>
          <w:rFonts w:hint="eastAsia" w:ascii="宋体" w:hAnsi="宋体" w:cs="宋体"/>
          <w:bCs/>
          <w:sz w:val="24"/>
          <w:highlight w:val="none"/>
        </w:rPr>
        <w:t>负责各设备的单机调试和生产线的联动调试，同时通过调试后组织带负荷试运行并最终达到生产效果、满足相关产能、质量、环保及安全生产要求（结合现场土建施工进度等，招标人通知后开工）</w:t>
      </w:r>
      <w:r>
        <w:rPr>
          <w:rFonts w:hint="eastAsia" w:ascii="宋体" w:hAnsi="宋体" w:cs="宋体"/>
          <w:b/>
          <w:sz w:val="24"/>
          <w:highlight w:val="none"/>
        </w:rPr>
        <w:t>。</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第三条、工程承包形式：</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1、承包方式：以清单中注明的方式各细项采用综合单价或者总价包干形式。</w:t>
      </w:r>
    </w:p>
    <w:p>
      <w:pPr>
        <w:shd w:val="clear"/>
        <w:spacing w:line="440" w:lineRule="exact"/>
        <w:ind w:firstLine="480" w:firstLineChars="200"/>
        <w:rPr>
          <w:rFonts w:ascii="宋体" w:hAnsi="宋体" w:cs="宋体"/>
          <w:sz w:val="24"/>
          <w:szCs w:val="22"/>
          <w:highlight w:val="none"/>
        </w:rPr>
      </w:pPr>
      <w:r>
        <w:rPr>
          <w:rFonts w:hint="eastAsia" w:ascii="宋体" w:hAnsi="宋体" w:cs="宋体"/>
          <w:sz w:val="24"/>
          <w:szCs w:val="22"/>
          <w:highlight w:val="none"/>
        </w:rPr>
        <w:t>以上工程均实行包工、包清单内含有的设备采购、包辅材、包工期、包工程质量、包安全生产、包环境卫生；钢结构包主材及辅材；电气及自动控制系统包主材及辅材（电力电缆除外）的安装交钥匙工程。</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2、工程量计算规则及固定综合单价/包干总价内容：</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2.1 工艺设备及动力设备安装与调试工程：是指用于矿石加工生产线上，包括工艺设备、计量设备、动力设备及其驱动装置等设备安装与调试工程。工作内容含：设备开箱检验、接卸保管、二次转运、设备安装（含设备基础二次灌浆）、调试、现场整修或更换。按元/吨计取安装综合单价。该综合单价（元/吨）按工程量清单计算，不因施工图设计时设备规格、型号、数量的改变而调整综合单价。设备重量均不包括工艺管道及管件、非标准件重量。</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2.2 非标准件、钢结构制作安装、彩瓦安装工程：指需要现场制作结构件、非标管道、溜槽、接料槽、罩子、小型平台、漏斗、风管、连接件等所有非标准件的制作及安装与调试。工作内容含：制作、安装、检验、调试、除锈、底漆和面漆各两道、超高、卸车、运输、脚手架搭拆等全部工作内容及全部费用。钢材、氧气、乙炔、油漆、焊条（丝）、紧固件等材料由承包方承担。按清单计取制作安装综合单价。</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2.3 工艺管道制作安装工程：指用于输送物料（气力输送）、气体（压缩空气管网）、水（设备冷却循环给水及回水、室内外给排水、消防管道）的管道、管件、阀门、支架等制作安装工程。工作内容含：管道制作安装、管件制作安装、阀门安装、法兰安装支架制作安装等（含除锈、油漆{二底二面（直埋管沥青漆两道）}、防腐、绝热、超高、卸车、运输、脚手架搭拆等）、管道试验（压）等，同时含挖填土，阀门井、窨井砌筑工作。按清单计取制作安装综合单价，所有主材辅材由承包方承担。</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2.4 除锈及油漆</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  现场制作件的除锈等级为St3，工厂内加工件的除锈等级为Sa3，油漆两底两面，底漆品种为铁红醇酸防锈漆，面漆为醇酸磁漆，面漆颜色由建设单位在施工前选定；漆膜总厚度室内不小于150μm，室外不小于250μm。该部分费用包含在相关制安价格内。</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2.5 电气及自动化控制系统的深化设计、供货、安装与调试总价包干工程</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①棒磨机10kV控制柜的安装、调试，电缆敷设，本项工程不含10kV馈线柜、10kV补偿柜、变压器的安装。</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②低压配电及自动控制设备：主要内容包括低压配电柜、无功补偿柜、动力箱控制箱（柜）的深化设计、供货、安装与调试，随主机设备配套的电控柜的安装与调试，所有热控低压配电设备包括空气开关、接触器、继电器、操作开关、指示灯、端子排等均采用施耐德、西门子、ABB、GSEE 系列产品。</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③自动化控制设备：主要内容包括电仪盘柜、现地控制箱、控制操作台、料位计、料位开关、控制箱（柜）、仪表柜、各类变送器、智能控制系统、视频监控、自动售料与车辆管理系统的深化设计、供货、安装与调试。要求智能控制系统元器件采用国内国际一线品牌产品，各种信号应留出25%的备用点。</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④信号与测量：所有开关状态信号、电气事故信号及预告信号均送入智能控制系统。需要在智能控制系统上显示的电气连续量信号（电流、电压、功率等）在低压配电柜中采用变送器将其变成 4～20mA 信号输出送入骨料智能控制系统，或由智能测控模块把其变为数字信号通过通信接口以总线方式送至骨料智能控制系统。送入骨料智能控制系统的电气量应能实现数据自动采集，能够与调度室系统对接、定期打印制表、实时调阅、事故自动记录及故障追忆等功能。</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⑤电缆敷设：包含变压器低压侧至低压受电柜的封闭母线、低压配电柜至各电机、低压柜至设备控制柜、设备控制柜至各电机的所有电力电缆敷设，各种规格的电缆桥架、电缆保护套管、控制电缆、光纤、通信总线的供货及敷设施工。不分电缆型号、规格及敷设方式，电缆敷设如遇埋地敷设应包括电缆沟挖填土及铺砂等的工作。电缆头制作安装以及电缆头、电缆头附件、中间头、管接头、铜鼻子、金属软管等材料的供货及制作安装。电缆卸车、转运。</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⑥防雷接地：本标段内所有生产线设备、钢结构、电气设备的防雷接地施工及材料供应。</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⑦.本标段内除有明确标示为由招标人提供的主机设备、电力电缆、输送机及胶带、除尘设备、地磅外（详见清单），其它材料全部由承包人负责提供。</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⑧投标人应充分了解本项目的特点，根据本项目功能和使用环境编制电气及自动化控制系统的深化设计方案和图纸。由于本项目部分机电设备招标未完成，招标人将在后期向中标人提供详细的机电设备台数、设备功率等参数，中标人须按设计单位提出的要求进行深化设计，深化设计方案报招标人批准后方可进行集成加工，中标人必须保证其方案满足设计要求和生产线的使用和控制功能要求，不因方案经过招标人批准而发生责任转移。</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3、本安装工程除按前款分项计取工程费用外，不再计取其它任何费用。</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4、招标人供应主材的范围（本条款未明确的，以本招标文件第三章第三条第8款为准）。</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4.1工艺设备安装与调试工程：</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招标人供应设备清单见附件。棒磨机预埋螺栓由设备供应商随设备提供，其他预埋件由承包方自行提供，二次灌浆混凝土材料及设备安装的石棉绳、石棉板、密封胶等安装辅材，由承包方自行提供。</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4.2</w:t>
      </w:r>
      <w:r>
        <w:rPr>
          <w:rFonts w:hint="eastAsia" w:ascii="宋体" w:hAnsi="宋体" w:cs="宋体"/>
          <w:color w:val="auto"/>
          <w:sz w:val="24"/>
          <w:szCs w:val="22"/>
          <w:highlight w:val="none"/>
        </w:rPr>
        <w:t>非标准件（含钢结构件）制作及安装工程：本项仅为非标准件钢结构件制作及安装，无招标人供应主材。</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4.3 工艺管道制作安装工程：本项主要工作内容为除尘风管制作、安装，无招标人供应主材。</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4.4 钢结构制作、安装工程：本项主要工作内容为钢桁架及支架、皮带机安装平台等钢结构制作和安装，无招标人供应主材。</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4.5彩瓦安装（国标，厚度0.8mm）：本项主要工作内容为皮带机桁架，无招标人供应主材。</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4.6电气及自动化控制系统供货、安装与调试工程：本项主要工作内容为砂石骨料生产线电气及自动控制系统、视频监控系统、自动售料及车辆管理系统设备的集成、供货、安装和调试，除电力电缆外，无招标人供应的其他主材。</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 xml:space="preserve">5、除招标人供应主材外，其他材料一律由承包方负责提供。招标人运至施工现场的甲供主材有承包方负责保管。 </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6、关于甲供材料的领用，承包方应按图纸计算所需要材料的数量，按计算数量申领相应的材料。由承包方保管的甲供材料未使用完的，在工程结束时及时办理移交给招标人的手续，超领未退的材料将按采购价的150%从工程款中扣除。</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7、本安装合同招标人提供的主材，由承包方根据安装工程进度从招标人材料仓库专立账户领用。</w:t>
      </w:r>
    </w:p>
    <w:p>
      <w:pPr>
        <w:shd w:val="clear"/>
        <w:spacing w:line="440" w:lineRule="exact"/>
        <w:rPr>
          <w:rFonts w:ascii="宋体" w:hAnsi="宋体" w:cs="宋体"/>
          <w:sz w:val="24"/>
          <w:szCs w:val="22"/>
          <w:highlight w:val="none"/>
        </w:rPr>
      </w:pPr>
      <w:r>
        <w:rPr>
          <w:rFonts w:hint="eastAsia" w:ascii="宋体" w:hAnsi="宋体" w:cs="宋体"/>
          <w:sz w:val="24"/>
          <w:szCs w:val="22"/>
          <w:highlight w:val="none"/>
        </w:rPr>
        <w:t>8、招标人供应的安装主材以本招标文件第三章第三条第4款为准；本招标文件第三章第三条第4款未明确的安装主材与辅材，以《专业定额》——国家建筑材料工业局(2000 年)“建筑材料工业建设工程预算定额”、“建筑材料工业建设安装工程费用定额”，《通用定额》——“全国统一安装工程预算定额江西省2000 年估价表”及相应的费用定额为划分依据。此定额只界限主材与辅材以及工作内容范围。定额明确的未计价材料为主材，计价材料为辅材。</w:t>
      </w:r>
    </w:p>
    <w:p>
      <w:pPr>
        <w:shd w:val="clear"/>
        <w:snapToGrid w:val="0"/>
        <w:spacing w:line="360" w:lineRule="exact"/>
        <w:rPr>
          <w:rFonts w:ascii="宋体" w:hAnsi="宋体" w:cs="宋体"/>
          <w:sz w:val="24"/>
          <w:szCs w:val="24"/>
          <w:highlight w:val="none"/>
        </w:rPr>
      </w:pPr>
      <w:r>
        <w:rPr>
          <w:rFonts w:hint="eastAsia"/>
          <w:sz w:val="24"/>
          <w:szCs w:val="24"/>
          <w:highlight w:val="none"/>
        </w:rPr>
        <w:t xml:space="preserve">9、施工安装用水、用电由承包方装表计量，水电费按当地标准向承包方收取；招标人将每月月底抄表的用量报表报承包方备案，招标人从每次支付的工程进度款中扣除（决算时按此价格计算）。  </w:t>
      </w:r>
    </w:p>
    <w:bookmarkEnd w:id="27"/>
    <w:p>
      <w:pPr>
        <w:shd w:val="clear"/>
        <w:spacing w:line="440" w:lineRule="exact"/>
        <w:rPr>
          <w:rFonts w:ascii="宋体" w:hAnsi="宋体" w:cs="宋体"/>
          <w:b/>
          <w:bCs/>
          <w:sz w:val="24"/>
          <w:szCs w:val="24"/>
          <w:highlight w:val="none"/>
        </w:rPr>
      </w:pPr>
      <w:r>
        <w:rPr>
          <w:rFonts w:hint="eastAsia" w:ascii="宋体" w:hAnsi="宋体" w:cs="宋体"/>
          <w:b/>
          <w:bCs/>
          <w:sz w:val="24"/>
          <w:szCs w:val="24"/>
          <w:highlight w:val="none"/>
        </w:rPr>
        <w:t>第四条：工程施工工期</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1、合同工期总日历天数：80天（总工期含单机及联动试车工期，关键子项工程工期见下表，分项考核，合并计算）。</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 xml:space="preserve"> 关键子项工程工期如下（不含单机及联动试车工期）：</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408"/>
        <w:gridCol w:w="1985"/>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序号</w:t>
            </w:r>
          </w:p>
        </w:tc>
        <w:tc>
          <w:tcPr>
            <w:tcW w:w="3408"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子项工程名称</w:t>
            </w:r>
          </w:p>
        </w:tc>
        <w:tc>
          <w:tcPr>
            <w:tcW w:w="1985"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施工工期（天）</w:t>
            </w:r>
          </w:p>
        </w:tc>
        <w:tc>
          <w:tcPr>
            <w:tcW w:w="3139"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1</w:t>
            </w:r>
          </w:p>
        </w:tc>
        <w:tc>
          <w:tcPr>
            <w:tcW w:w="3408" w:type="dxa"/>
          </w:tcPr>
          <w:p>
            <w:pPr>
              <w:shd w:val="clear"/>
              <w:snapToGrid w:val="0"/>
              <w:spacing w:line="440" w:lineRule="exact"/>
              <w:jc w:val="center"/>
              <w:rPr>
                <w:rFonts w:ascii="宋体" w:hAnsi="宋体" w:cs="宋体"/>
                <w:sz w:val="24"/>
                <w:highlight w:val="none"/>
              </w:rPr>
            </w:pPr>
          </w:p>
        </w:tc>
        <w:tc>
          <w:tcPr>
            <w:tcW w:w="1985" w:type="dxa"/>
          </w:tcPr>
          <w:p>
            <w:pPr>
              <w:shd w:val="clear"/>
              <w:snapToGrid w:val="0"/>
              <w:spacing w:line="440" w:lineRule="exact"/>
              <w:jc w:val="center"/>
              <w:rPr>
                <w:rFonts w:ascii="宋体" w:hAnsi="宋体" w:cs="宋体"/>
                <w:sz w:val="24"/>
                <w:highlight w:val="none"/>
              </w:rPr>
            </w:pPr>
          </w:p>
        </w:tc>
        <w:tc>
          <w:tcPr>
            <w:tcW w:w="3139"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2</w:t>
            </w:r>
          </w:p>
        </w:tc>
        <w:tc>
          <w:tcPr>
            <w:tcW w:w="3408" w:type="dxa"/>
          </w:tcPr>
          <w:p>
            <w:pPr>
              <w:shd w:val="clear"/>
              <w:snapToGrid w:val="0"/>
              <w:spacing w:line="440" w:lineRule="exact"/>
              <w:jc w:val="center"/>
              <w:rPr>
                <w:rFonts w:ascii="宋体" w:hAnsi="宋体" w:cs="宋体"/>
                <w:sz w:val="24"/>
                <w:highlight w:val="none"/>
              </w:rPr>
            </w:pPr>
          </w:p>
        </w:tc>
        <w:tc>
          <w:tcPr>
            <w:tcW w:w="1985" w:type="dxa"/>
          </w:tcPr>
          <w:p>
            <w:pPr>
              <w:shd w:val="clear"/>
              <w:snapToGrid w:val="0"/>
              <w:spacing w:line="440" w:lineRule="exact"/>
              <w:jc w:val="center"/>
              <w:rPr>
                <w:rFonts w:ascii="宋体" w:hAnsi="宋体" w:cs="宋体"/>
                <w:sz w:val="24"/>
                <w:highlight w:val="none"/>
              </w:rPr>
            </w:pPr>
          </w:p>
        </w:tc>
        <w:tc>
          <w:tcPr>
            <w:tcW w:w="3139"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1"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3</w:t>
            </w:r>
          </w:p>
        </w:tc>
        <w:tc>
          <w:tcPr>
            <w:tcW w:w="3408" w:type="dxa"/>
          </w:tcPr>
          <w:p>
            <w:pPr>
              <w:shd w:val="clear"/>
              <w:snapToGrid w:val="0"/>
              <w:spacing w:line="440" w:lineRule="exact"/>
              <w:jc w:val="center"/>
              <w:rPr>
                <w:rFonts w:ascii="宋体" w:hAnsi="宋体" w:cs="宋体"/>
                <w:sz w:val="24"/>
                <w:highlight w:val="none"/>
              </w:rPr>
            </w:pPr>
          </w:p>
        </w:tc>
        <w:tc>
          <w:tcPr>
            <w:tcW w:w="1985" w:type="dxa"/>
          </w:tcPr>
          <w:p>
            <w:pPr>
              <w:shd w:val="clear"/>
              <w:snapToGrid w:val="0"/>
              <w:spacing w:line="440" w:lineRule="exact"/>
              <w:jc w:val="center"/>
              <w:rPr>
                <w:rFonts w:ascii="宋体" w:hAnsi="宋体" w:cs="宋体"/>
                <w:sz w:val="24"/>
                <w:highlight w:val="none"/>
              </w:rPr>
            </w:pPr>
          </w:p>
        </w:tc>
        <w:tc>
          <w:tcPr>
            <w:tcW w:w="3139"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4</w:t>
            </w:r>
          </w:p>
        </w:tc>
        <w:tc>
          <w:tcPr>
            <w:tcW w:w="3408" w:type="dxa"/>
          </w:tcPr>
          <w:p>
            <w:pPr>
              <w:shd w:val="clear"/>
              <w:snapToGrid w:val="0"/>
              <w:spacing w:line="440" w:lineRule="exact"/>
              <w:jc w:val="center"/>
              <w:rPr>
                <w:rFonts w:ascii="宋体" w:hAnsi="宋体" w:cs="宋体"/>
                <w:sz w:val="24"/>
                <w:highlight w:val="none"/>
              </w:rPr>
            </w:pPr>
          </w:p>
        </w:tc>
        <w:tc>
          <w:tcPr>
            <w:tcW w:w="1985" w:type="dxa"/>
          </w:tcPr>
          <w:p>
            <w:pPr>
              <w:shd w:val="clear"/>
              <w:snapToGrid w:val="0"/>
              <w:spacing w:line="440" w:lineRule="exact"/>
              <w:jc w:val="center"/>
              <w:rPr>
                <w:rFonts w:ascii="宋体" w:hAnsi="宋体" w:cs="宋体"/>
                <w:sz w:val="24"/>
                <w:highlight w:val="none"/>
              </w:rPr>
            </w:pPr>
          </w:p>
        </w:tc>
        <w:tc>
          <w:tcPr>
            <w:tcW w:w="3139"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5</w:t>
            </w:r>
          </w:p>
        </w:tc>
        <w:tc>
          <w:tcPr>
            <w:tcW w:w="3408" w:type="dxa"/>
          </w:tcPr>
          <w:p>
            <w:pPr>
              <w:shd w:val="clear"/>
              <w:snapToGrid w:val="0"/>
              <w:spacing w:line="440" w:lineRule="exact"/>
              <w:jc w:val="center"/>
              <w:rPr>
                <w:rFonts w:ascii="宋体" w:hAnsi="宋体" w:cs="宋体"/>
                <w:sz w:val="24"/>
                <w:highlight w:val="none"/>
              </w:rPr>
            </w:pPr>
          </w:p>
        </w:tc>
        <w:tc>
          <w:tcPr>
            <w:tcW w:w="1985" w:type="dxa"/>
          </w:tcPr>
          <w:p>
            <w:pPr>
              <w:shd w:val="clear"/>
              <w:snapToGrid w:val="0"/>
              <w:spacing w:line="440" w:lineRule="exact"/>
              <w:jc w:val="center"/>
              <w:rPr>
                <w:rFonts w:ascii="宋体" w:hAnsi="宋体" w:cs="宋体"/>
                <w:sz w:val="24"/>
                <w:highlight w:val="none"/>
              </w:rPr>
            </w:pPr>
          </w:p>
        </w:tc>
        <w:tc>
          <w:tcPr>
            <w:tcW w:w="3139"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11"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6</w:t>
            </w:r>
          </w:p>
        </w:tc>
        <w:tc>
          <w:tcPr>
            <w:tcW w:w="3408" w:type="dxa"/>
          </w:tcPr>
          <w:p>
            <w:pPr>
              <w:shd w:val="clear"/>
              <w:snapToGrid w:val="0"/>
              <w:spacing w:line="440" w:lineRule="exact"/>
              <w:jc w:val="center"/>
              <w:rPr>
                <w:rFonts w:ascii="宋体" w:hAnsi="宋体" w:cs="宋体"/>
                <w:sz w:val="24"/>
                <w:highlight w:val="none"/>
              </w:rPr>
            </w:pPr>
          </w:p>
        </w:tc>
        <w:tc>
          <w:tcPr>
            <w:tcW w:w="1985" w:type="dxa"/>
          </w:tcPr>
          <w:p>
            <w:pPr>
              <w:shd w:val="clear"/>
              <w:snapToGrid w:val="0"/>
              <w:spacing w:line="440" w:lineRule="exact"/>
              <w:jc w:val="center"/>
              <w:rPr>
                <w:rFonts w:ascii="宋体" w:hAnsi="宋体" w:cs="宋体"/>
                <w:sz w:val="24"/>
                <w:highlight w:val="none"/>
              </w:rPr>
            </w:pPr>
          </w:p>
        </w:tc>
        <w:tc>
          <w:tcPr>
            <w:tcW w:w="3139"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7</w:t>
            </w:r>
          </w:p>
        </w:tc>
        <w:tc>
          <w:tcPr>
            <w:tcW w:w="3408" w:type="dxa"/>
          </w:tcPr>
          <w:p>
            <w:pPr>
              <w:shd w:val="clear"/>
              <w:snapToGrid w:val="0"/>
              <w:spacing w:line="440" w:lineRule="exact"/>
              <w:jc w:val="center"/>
              <w:rPr>
                <w:rFonts w:ascii="宋体" w:hAnsi="宋体" w:cs="宋体"/>
                <w:sz w:val="24"/>
                <w:highlight w:val="none"/>
              </w:rPr>
            </w:pPr>
          </w:p>
        </w:tc>
        <w:tc>
          <w:tcPr>
            <w:tcW w:w="1985" w:type="dxa"/>
          </w:tcPr>
          <w:p>
            <w:pPr>
              <w:shd w:val="clear"/>
              <w:snapToGrid w:val="0"/>
              <w:spacing w:line="440" w:lineRule="exact"/>
              <w:jc w:val="center"/>
              <w:rPr>
                <w:rFonts w:ascii="宋体" w:hAnsi="宋体" w:cs="宋体"/>
                <w:sz w:val="24"/>
                <w:highlight w:val="none"/>
              </w:rPr>
            </w:pPr>
          </w:p>
        </w:tc>
        <w:tc>
          <w:tcPr>
            <w:tcW w:w="3139"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8</w:t>
            </w:r>
          </w:p>
        </w:tc>
        <w:tc>
          <w:tcPr>
            <w:tcW w:w="3408" w:type="dxa"/>
          </w:tcPr>
          <w:p>
            <w:pPr>
              <w:shd w:val="clear"/>
              <w:snapToGrid w:val="0"/>
              <w:spacing w:line="440" w:lineRule="exact"/>
              <w:jc w:val="center"/>
              <w:rPr>
                <w:rFonts w:ascii="宋体" w:hAnsi="宋体" w:cs="宋体"/>
                <w:sz w:val="24"/>
                <w:highlight w:val="none"/>
              </w:rPr>
            </w:pPr>
          </w:p>
        </w:tc>
        <w:tc>
          <w:tcPr>
            <w:tcW w:w="1985" w:type="dxa"/>
          </w:tcPr>
          <w:p>
            <w:pPr>
              <w:shd w:val="clear"/>
              <w:snapToGrid w:val="0"/>
              <w:spacing w:line="440" w:lineRule="exact"/>
              <w:jc w:val="center"/>
              <w:rPr>
                <w:rFonts w:ascii="宋体" w:hAnsi="宋体" w:cs="宋体"/>
                <w:sz w:val="24"/>
                <w:highlight w:val="none"/>
              </w:rPr>
            </w:pPr>
          </w:p>
        </w:tc>
        <w:tc>
          <w:tcPr>
            <w:tcW w:w="3139" w:type="dxa"/>
          </w:tcPr>
          <w:p>
            <w:pPr>
              <w:shd w:val="clear"/>
              <w:snapToGrid w:val="0"/>
              <w:spacing w:line="440" w:lineRule="exact"/>
              <w:rPr>
                <w:rFonts w:ascii="宋体" w:hAnsi="宋体" w:cs="宋体"/>
                <w:sz w:val="24"/>
                <w:highlight w:val="none"/>
              </w:rPr>
            </w:pPr>
          </w:p>
        </w:tc>
      </w:tr>
    </w:tbl>
    <w:p>
      <w:pPr>
        <w:shd w:val="clear"/>
        <w:snapToGrid w:val="0"/>
        <w:spacing w:line="440" w:lineRule="exact"/>
        <w:rPr>
          <w:rFonts w:ascii="宋体" w:hAnsi="宋体" w:cs="宋体"/>
          <w:sz w:val="24"/>
          <w:szCs w:val="24"/>
          <w:highlight w:val="none"/>
        </w:rPr>
      </w:pP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2、开工日期：以招标人提供设备安装条件和设备到货条件后下达开工通知之日为准；竣工日期：</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{竣工系指系统单机及联动试车合格结束，具备安全试产条件（包含相关扶手、栏杆、雨棚、防护罩、防护盖板、照明等安全设施的完善）；竣工日期以承包方书面申请并经发包方确认为准}。</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3、安装工程合同签订后，承包方须按招标人要求在规定的时间内派出专业人员进驻项目</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现场，做好各项施工准备，协助土建施工队伍验收设备基础及指导土建施工，根据土建工程进度和设备到货情况及时开工。</w:t>
      </w:r>
    </w:p>
    <w:p>
      <w:pPr>
        <w:shd w:val="clear"/>
        <w:autoSpaceDE w:val="0"/>
        <w:autoSpaceDN w:val="0"/>
        <w:adjustRightInd w:val="0"/>
        <w:snapToGrid w:val="0"/>
        <w:spacing w:line="440" w:lineRule="exact"/>
        <w:ind w:right="-444" w:rightChars="-222"/>
        <w:textAlignment w:val="bottom"/>
        <w:rPr>
          <w:rFonts w:ascii="宋体" w:hAnsi="宋体" w:cs="宋体"/>
          <w:sz w:val="24"/>
          <w:szCs w:val="24"/>
          <w:highlight w:val="none"/>
        </w:rPr>
      </w:pPr>
      <w:r>
        <w:rPr>
          <w:rFonts w:hint="eastAsia" w:ascii="宋体" w:hAnsi="宋体" w:cs="宋体"/>
          <w:sz w:val="24"/>
          <w:szCs w:val="24"/>
          <w:highlight w:val="none"/>
        </w:rPr>
        <w:t>4、招标人有权要求承包方提前进场开工，相应的竣工日也应提前（具体施工进度计划届时另</w:t>
      </w:r>
    </w:p>
    <w:p>
      <w:pPr>
        <w:shd w:val="clear"/>
        <w:autoSpaceDE w:val="0"/>
        <w:autoSpaceDN w:val="0"/>
        <w:adjustRightInd w:val="0"/>
        <w:snapToGrid w:val="0"/>
        <w:spacing w:line="440" w:lineRule="exact"/>
        <w:ind w:right="-444" w:rightChars="-222"/>
        <w:textAlignment w:val="bottom"/>
        <w:rPr>
          <w:rFonts w:ascii="宋体" w:hAnsi="宋体" w:cs="宋体"/>
          <w:sz w:val="24"/>
          <w:szCs w:val="24"/>
          <w:highlight w:val="none"/>
        </w:rPr>
      </w:pPr>
      <w:r>
        <w:rPr>
          <w:rFonts w:hint="eastAsia" w:ascii="宋体" w:hAnsi="宋体" w:cs="宋体"/>
          <w:sz w:val="24"/>
          <w:szCs w:val="24"/>
          <w:highlight w:val="none"/>
        </w:rPr>
        <w:t>附，作为合同不可分割的内容）。承包方必须按进度计划及现场实际施工进度需要，安排足够的施工人员，确保工程按时竣工。</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5、招标人保证及时提供施工图纸，并协调解决施工中出现的可能影响工期的问题。</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6、除人力不可抗拒的自然灾害，承包方不得以任何理由延误工期。</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7、安装工程开工后，承包方要与土建施工单位密切配合，做好预留、预埋件等工作，为安装创造条件。安装、土建施工交叉作业时，要服从招标人的统一指挥和协调安排。</w:t>
      </w:r>
    </w:p>
    <w:p>
      <w:pPr>
        <w:shd w:val="clear"/>
        <w:snapToGrid w:val="0"/>
        <w:spacing w:line="440" w:lineRule="exact"/>
        <w:outlineLvl w:val="0"/>
        <w:rPr>
          <w:rFonts w:ascii="宋体" w:hAnsi="宋体" w:cs="宋体"/>
          <w:b/>
          <w:bCs/>
          <w:sz w:val="24"/>
          <w:szCs w:val="24"/>
          <w:highlight w:val="none"/>
        </w:rPr>
      </w:pPr>
      <w:r>
        <w:rPr>
          <w:rFonts w:hint="eastAsia" w:ascii="宋体" w:hAnsi="宋体" w:cs="宋体"/>
          <w:sz w:val="24"/>
          <w:szCs w:val="24"/>
          <w:highlight w:val="none"/>
        </w:rPr>
        <w:t>8、</w:t>
      </w:r>
      <w:r>
        <w:rPr>
          <w:rFonts w:hint="eastAsia" w:ascii="宋体" w:hAnsi="宋体" w:cs="宋体"/>
          <w:bCs/>
          <w:sz w:val="24"/>
          <w:szCs w:val="24"/>
          <w:highlight w:val="none"/>
        </w:rPr>
        <w:t>工期延误</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（1）、如果由于以下原因造成竣工日期的延误，经招标人代表确认后，承包方有理由延期完成工程或部分工程，招标人应同承包方协商决定延长竣工时间的期限：</w:t>
      </w:r>
    </w:p>
    <w:p>
      <w:pPr>
        <w:shd w:val="clear"/>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A、额外的或附加的工程数量。</w:t>
      </w:r>
    </w:p>
    <w:p>
      <w:pPr>
        <w:shd w:val="clear"/>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B、由招标人原因造成的延误、障碍、停止。</w:t>
      </w:r>
    </w:p>
    <w:p>
      <w:pPr>
        <w:shd w:val="clear"/>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C、不可抗力。</w:t>
      </w:r>
    </w:p>
    <w:p>
      <w:pPr>
        <w:shd w:val="clear"/>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D、可能会出现的，不属承包方的过失或违约造成的。</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（2）、非上述原因，承包方不能按合同工期完成，应承担违约责任，并向招标人支付赔偿费。赔偿费支付办法按下列第</w:t>
      </w:r>
      <w:r>
        <w:rPr>
          <w:rFonts w:hint="eastAsia" w:ascii="宋体" w:hAnsi="宋体" w:cs="宋体"/>
          <w:sz w:val="24"/>
          <w:szCs w:val="24"/>
          <w:highlight w:val="none"/>
          <w:u w:val="single"/>
        </w:rPr>
        <w:t>B</w:t>
      </w:r>
      <w:r>
        <w:rPr>
          <w:rFonts w:hint="eastAsia" w:ascii="宋体" w:hAnsi="宋体" w:cs="宋体"/>
          <w:sz w:val="24"/>
          <w:szCs w:val="24"/>
          <w:highlight w:val="none"/>
        </w:rPr>
        <w:t>条。</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A、承包方在投标书附录中自报的赔偿费和限额。</w:t>
      </w:r>
    </w:p>
    <w:p>
      <w:pPr>
        <w:shd w:val="clear"/>
        <w:snapToGrid w:val="0"/>
        <w:spacing w:line="440" w:lineRule="exact"/>
        <w:rPr>
          <w:highlight w:val="none"/>
        </w:rPr>
      </w:pPr>
      <w:r>
        <w:rPr>
          <w:rFonts w:hint="eastAsia" w:ascii="宋体" w:hAnsi="宋体" w:cs="宋体"/>
          <w:sz w:val="24"/>
          <w:szCs w:val="24"/>
          <w:highlight w:val="none"/>
        </w:rPr>
        <w:t>B、合同工期按总工期、关键子项工程分项考核，合并计算；总工期每推延一天赔偿合同价格的</w:t>
      </w:r>
      <w:r>
        <w:rPr>
          <w:rFonts w:hint="eastAsia" w:ascii="宋体" w:hAnsi="宋体" w:cs="宋体"/>
          <w:sz w:val="24"/>
          <w:szCs w:val="24"/>
          <w:highlight w:val="none"/>
          <w:u w:val="single"/>
        </w:rPr>
        <w:t xml:space="preserve"> 0.1%</w:t>
      </w:r>
      <w:r>
        <w:rPr>
          <w:rFonts w:hint="eastAsia" w:ascii="宋体" w:hAnsi="宋体" w:cs="宋体"/>
          <w:sz w:val="24"/>
          <w:szCs w:val="24"/>
          <w:highlight w:val="none"/>
        </w:rPr>
        <w:t>，各关键子项工程每推延一天赔偿合同价格的</w:t>
      </w:r>
      <w:r>
        <w:rPr>
          <w:rFonts w:hint="eastAsia" w:ascii="宋体" w:hAnsi="宋体" w:cs="宋体"/>
          <w:sz w:val="24"/>
          <w:szCs w:val="24"/>
          <w:highlight w:val="none"/>
          <w:u w:val="single"/>
        </w:rPr>
        <w:t xml:space="preserve"> 0.05%</w:t>
      </w:r>
      <w:r>
        <w:rPr>
          <w:rFonts w:hint="eastAsia" w:ascii="宋体" w:hAnsi="宋体" w:cs="宋体"/>
          <w:sz w:val="24"/>
          <w:szCs w:val="24"/>
          <w:highlight w:val="none"/>
        </w:rPr>
        <w:t>，限额为合同价格的</w:t>
      </w:r>
      <w:r>
        <w:rPr>
          <w:rFonts w:hint="eastAsia" w:ascii="宋体" w:hAnsi="宋体" w:cs="宋体"/>
          <w:sz w:val="24"/>
          <w:szCs w:val="24"/>
          <w:highlight w:val="none"/>
          <w:u w:val="single"/>
        </w:rPr>
        <w:t xml:space="preserve">5％ </w:t>
      </w:r>
      <w:r>
        <w:rPr>
          <w:rFonts w:hint="eastAsia" w:ascii="宋体" w:hAnsi="宋体" w:cs="宋体"/>
          <w:sz w:val="24"/>
          <w:szCs w:val="24"/>
          <w:highlight w:val="none"/>
        </w:rPr>
        <w:t>。</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C、</w:t>
      </w:r>
      <w:r>
        <w:rPr>
          <w:rFonts w:hint="eastAsia" w:ascii="宋体" w:hAnsi="宋体" w:cs="宋体"/>
          <w:sz w:val="24"/>
          <w:szCs w:val="24"/>
          <w:highlight w:val="none"/>
          <w:u w:val="single"/>
        </w:rPr>
        <w:t xml:space="preserve">                        /                      </w:t>
      </w:r>
      <w:r>
        <w:rPr>
          <w:rFonts w:hint="eastAsia" w:ascii="宋体" w:hAnsi="宋体" w:cs="宋体"/>
          <w:sz w:val="24"/>
          <w:szCs w:val="24"/>
          <w:highlight w:val="none"/>
        </w:rPr>
        <w:t>。</w:t>
      </w:r>
    </w:p>
    <w:p>
      <w:pPr>
        <w:shd w:val="clear"/>
        <w:snapToGrid w:val="0"/>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招标人可从应向施工方支付的任何金额中扣除此项赔偿费。此赔偿费的支付并不能解除承包方完成工程的责任或合同规定的其它责任。</w:t>
      </w:r>
    </w:p>
    <w:p>
      <w:pPr>
        <w:shd w:val="clear"/>
        <w:spacing w:line="440" w:lineRule="exact"/>
        <w:rPr>
          <w:rFonts w:ascii="宋体" w:hAnsi="宋体" w:cs="宋体"/>
          <w:sz w:val="24"/>
          <w:szCs w:val="24"/>
          <w:highlight w:val="none"/>
        </w:rPr>
      </w:pPr>
      <w:r>
        <w:rPr>
          <w:rFonts w:hint="eastAsia" w:ascii="宋体" w:hAnsi="宋体" w:cs="宋体"/>
          <w:b/>
          <w:bCs/>
          <w:sz w:val="24"/>
          <w:szCs w:val="24"/>
          <w:highlight w:val="none"/>
        </w:rPr>
        <w:t>第五条：本安装工程图纸。</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1、现场踏勘时到招标人查询。</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2、招标人按施工进度计划提前分批向承包方交付设备安装图1式2份及设备安装使用说明书1份，不提供国家通用标准图。</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3、在工程施工过程中，招标人如果要求承包方提供与工程有关的资料，承包方应尽力配合，满足招标人的要求。</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4、承包方应做好图纸保密工作，未经招标人、设计单位和设备制造厂的同意不得擅自将图纸转交第三方，否则由承包方承担由此造成的全部后果。</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5、招标人会提供与本安装工程有关的设计单位标准图集及其它安装必要的图纸资料。</w:t>
      </w:r>
    </w:p>
    <w:p>
      <w:pPr>
        <w:shd w:val="clear"/>
        <w:spacing w:line="440" w:lineRule="exact"/>
        <w:rPr>
          <w:rFonts w:ascii="宋体" w:hAnsi="宋体" w:cs="宋体"/>
          <w:b/>
          <w:bCs/>
          <w:sz w:val="24"/>
          <w:szCs w:val="24"/>
          <w:highlight w:val="none"/>
        </w:rPr>
      </w:pPr>
      <w:r>
        <w:rPr>
          <w:rFonts w:hint="eastAsia" w:ascii="宋体" w:hAnsi="宋体" w:cs="宋体"/>
          <w:b/>
          <w:bCs/>
          <w:sz w:val="24"/>
          <w:szCs w:val="24"/>
          <w:highlight w:val="none"/>
        </w:rPr>
        <w:t>第六条：工程质量及技术要求</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1、承包方必须严格按照图纸及其说明文件、图纸会审纪要、设计变更通知单、国家颁发的安装工程施工规范、技术标准和设备出厂文件进行施工，并接受招标人和工程质量监督部门的监督。</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2、隐蔽工程和中间验收承包方必须在24小时前通知招标人代表验收，招标人代表应密切配合。</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3、本安装工程主机设备安装优良率要保证达到100%，全线工程合格率要保证达到100%。</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4、设备的安装工程质量标准应达到其随机技术文件的要求，无特殊要求的应达到我国相关技术规范标准的要求。</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5、承包方应按上述要求对分项、分部、单位工程进行评定，并及时将评定结果送交招标人和质量监督部门。</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6、设备的安装应接受制造厂家指导人员的指导，并按指导人员的要求进行安装。</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7、承包方在施工中若发生质量事故，则应及时报告招标人。质量事故的处理方案，应与项目设计院和招标人共同研究，并经设计院和招标人签证后方可实施。</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8、不合格工程由承包方负责返工，由此引起的损失（包括返工费用和工期）应由承包方承担全部责任。如因承包方安装质量问题未及时或暂无法及时返工整改，但不影响招标人试生产，招标人开始试生产并不意味工程合格，同时由此产生的不良后果由承包方承担责任。 </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9、在保修期内由于承包方原因出现的质量事故或质量缺陷，承包方应承担责任并负责无偿修理或赔偿损失。</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10、</w:t>
      </w:r>
      <w:r>
        <w:rPr>
          <w:rFonts w:hint="eastAsia" w:ascii="宋体" w:hAnsi="宋体"/>
          <w:sz w:val="24"/>
          <w:highlight w:val="none"/>
        </w:rPr>
        <w:t>本项目工程施工及特种设备（比如压力容器等）安装如投标方不具备相关资质，则必须委托符合国家规定的相应资质的专业队伍进行施工及安装，且须经过招标方同意。否则由此造成的责任由投标方自行承担，招标方不承担任何责任。</w:t>
      </w:r>
    </w:p>
    <w:p>
      <w:pPr>
        <w:shd w:val="clear"/>
        <w:spacing w:line="440" w:lineRule="exact"/>
        <w:rPr>
          <w:rFonts w:ascii="宋体" w:hAnsi="宋体" w:cs="宋体"/>
          <w:sz w:val="24"/>
          <w:szCs w:val="24"/>
          <w:highlight w:val="none"/>
        </w:rPr>
      </w:pPr>
      <w:r>
        <w:rPr>
          <w:rFonts w:hint="eastAsia" w:ascii="宋体" w:hAnsi="宋体" w:cs="宋体"/>
          <w:b/>
          <w:bCs/>
          <w:sz w:val="24"/>
          <w:szCs w:val="24"/>
          <w:highlight w:val="none"/>
        </w:rPr>
        <w:t>第七条：竣工验收</w:t>
      </w:r>
    </w:p>
    <w:p>
      <w:pPr>
        <w:shd w:val="clear"/>
        <w:tabs>
          <w:tab w:val="left" w:pos="720"/>
        </w:tabs>
        <w:adjustRightInd w:val="0"/>
        <w:spacing w:line="440" w:lineRule="exact"/>
        <w:jc w:val="left"/>
        <w:textAlignment w:val="baseline"/>
        <w:rPr>
          <w:rFonts w:ascii="宋体" w:hAnsi="宋体" w:cs="宋体"/>
          <w:sz w:val="24"/>
          <w:szCs w:val="24"/>
          <w:highlight w:val="none"/>
        </w:rPr>
      </w:pPr>
      <w:r>
        <w:rPr>
          <w:rFonts w:hint="eastAsia" w:ascii="宋体" w:hAnsi="宋体" w:cs="宋体"/>
          <w:sz w:val="24"/>
          <w:szCs w:val="24"/>
          <w:highlight w:val="none"/>
        </w:rPr>
        <w:t>1、隐蔽工程及安装关键节点验收：施工过程在下一道工序动工前，需招标人和承包方双方及监理验收确认。</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2、工程完工后，具备竣工验收条件，承包方应按国家规定向招标人提供有关资料和竣工验收报告。双方及监理部门进行预验，在预验合格的基础上，招标人组织有关单位按合同相关条款、施工图及其设计文件、图纸会审纪要、国家颁布的工程验收规范和质量评定标准进行进行现场验收，并对被验收工程质量等级进行评审，验收合格后及时办理验收手续。竣工验收不合格，承包方应在招标人限定的期限内进行修补改造，并提出重新验收的日期。</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3、设备无负荷联动试车由承包方主持，招标人按承包方书面通知的日期到场参加验收，试运转合格后，双方书面签署交工验收证书，同时将设备交付招标人，未办理交工手续的设备，未经承包方许可，招标人不得动用。</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4、单机及无负荷联动试车所需的水、电、油料的消耗，由招标人提供。</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5、承包方应在竣工验收后两个月内提供所承担的工程范围内完整的竣工资料1式2份，设备安装竣工图1式2份，竣工资料应按国家有关规定执行。</w:t>
      </w:r>
    </w:p>
    <w:p>
      <w:pPr>
        <w:shd w:val="clear"/>
        <w:spacing w:line="440" w:lineRule="exact"/>
        <w:rPr>
          <w:rFonts w:ascii="宋体" w:hAnsi="宋体" w:cs="宋体"/>
          <w:b/>
          <w:bCs/>
          <w:sz w:val="24"/>
          <w:szCs w:val="24"/>
          <w:highlight w:val="none"/>
        </w:rPr>
      </w:pPr>
      <w:r>
        <w:rPr>
          <w:rFonts w:hint="eastAsia" w:ascii="宋体" w:hAnsi="宋体" w:cs="宋体"/>
          <w:b/>
          <w:bCs/>
          <w:sz w:val="24"/>
          <w:szCs w:val="24"/>
          <w:highlight w:val="none"/>
        </w:rPr>
        <w:t>第八条：材料供应</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 xml:space="preserve"> 1、本工程所需安装辅材由承包方供应。全部安装材料、构件、半成品、辅材，其型号、规格和质量应符合施工图和国家技术标准的要求，并附有产品合格证。</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 xml:space="preserve"> 2、若招标人要求承包方将不符合上述要求的材料用于施工，则产生的后果由招标人负责。</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 xml:space="preserve"> 3、任何一方认为所提供的材料需要复检的，应允许复检。若复检合格，则复检费用应由提出复检的一方承担。若复检不合格，则复检费用应由材料供应方承担。</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 xml:space="preserve"> 4、材料代用应经设计院和招标人认可，否则，造成工程返工或增加工程造价，应由承包方承担责任。</w:t>
      </w:r>
    </w:p>
    <w:p>
      <w:pPr>
        <w:shd w:val="clear"/>
        <w:snapToGrid w:val="0"/>
        <w:spacing w:line="440" w:lineRule="exact"/>
        <w:rPr>
          <w:rFonts w:ascii="宋体" w:hAnsi="宋体" w:cs="宋体"/>
          <w:b/>
          <w:sz w:val="24"/>
          <w:szCs w:val="24"/>
          <w:highlight w:val="none"/>
        </w:rPr>
      </w:pPr>
      <w:r>
        <w:rPr>
          <w:rFonts w:hint="eastAsia" w:ascii="宋体" w:hAnsi="宋体" w:cs="宋体"/>
          <w:b/>
          <w:sz w:val="24"/>
          <w:szCs w:val="24"/>
          <w:highlight w:val="none"/>
        </w:rPr>
        <w:t>第九条、设备的交付</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1、招标人按认可的安装施工进度和承包方的月计划要求，向承包方交付设备并提供装箱清单、随机技术文件和产品合格证（或部件制造合格证）的复印件1式3份。</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2、招标人向承包方交付设备时，双方应做好数量清点及质量外观检查，经签字认可后办理出库手续，由承包方负责保管，安装时如有缺件、损坏由乙方负责。在安装或调试过程中发现设备质量问题，由招标人会同设备制造厂、承包方、质检部门共同鉴定，并研究处理方案，由承包方具体实施。</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3、招标人交付的设备由承包方指定专人办理出库手续。随机出库的包装物及支撑物，承包方应列具清单交招标人仓库备案，并负责退还到招标人仓库。若承包方未退还或严重损坏的应予以赔偿，招标人将按出库时规定的价格在承包方工程款结算时扣除。</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4、安装工器具由承包方自行解决。随设备带来的专用工具由承包方向仓库办理借用手续，经招标人批准后借用。承包方借用的专用工具若丢失、损坏或逾期不归还的，招标人将按规定价格双倍在承包方工程款结算时扣除。</w:t>
      </w:r>
    </w:p>
    <w:p>
      <w:pPr>
        <w:shd w:val="clear"/>
        <w:snapToGrid w:val="0"/>
        <w:spacing w:line="440" w:lineRule="exact"/>
        <w:rPr>
          <w:rFonts w:ascii="宋体" w:hAnsi="宋体" w:cs="宋体"/>
          <w:b/>
          <w:sz w:val="24"/>
          <w:szCs w:val="24"/>
          <w:highlight w:val="none"/>
        </w:rPr>
      </w:pPr>
      <w:r>
        <w:rPr>
          <w:rFonts w:hint="eastAsia" w:ascii="宋体" w:hAnsi="宋体" w:cs="宋体"/>
          <w:b/>
          <w:sz w:val="24"/>
          <w:szCs w:val="24"/>
          <w:highlight w:val="none"/>
        </w:rPr>
        <w:t>第十条、工程设计的变更</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1、工程设计变更时，招标人会提前48小时书面通知承包方，承包方必须执行。</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2、承包方因施工原因，需变更工程设计时，就书面向招标人和监理提出申请，在招标人同意并办理变更和修改手续后，方能变更。</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3、发现下述情况，承包方应立即书面通知招标人。</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（1）施工图、说明书意义不明确；施工图和说明书互相矛盾；施工图、说明书中有错误或疏漏。</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（2）施工图说明的施工条件与实际不符。</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（3）承包方认为不能按施工图、说明书施工。</w:t>
      </w:r>
    </w:p>
    <w:p>
      <w:pPr>
        <w:shd w:val="clear"/>
        <w:snapToGrid w:val="0"/>
        <w:spacing w:line="440" w:lineRule="exact"/>
        <w:rPr>
          <w:rFonts w:ascii="宋体" w:hAnsi="宋体" w:cs="宋体"/>
          <w:sz w:val="24"/>
          <w:szCs w:val="24"/>
          <w:highlight w:val="none"/>
        </w:rPr>
      </w:pPr>
      <w:r>
        <w:rPr>
          <w:rFonts w:hint="eastAsia" w:ascii="宋体" w:hAnsi="宋体" w:cs="宋体"/>
          <w:sz w:val="24"/>
          <w:szCs w:val="24"/>
          <w:highlight w:val="none"/>
        </w:rPr>
        <w:t>当招标人接到上述通知后，应在24小时内以书面形式向承包方提出答复意见。</w:t>
      </w:r>
    </w:p>
    <w:p>
      <w:pPr>
        <w:shd w:val="clear"/>
        <w:spacing w:line="440" w:lineRule="exact"/>
        <w:rPr>
          <w:rFonts w:ascii="宋体" w:hAnsi="宋体" w:cs="宋体"/>
          <w:b/>
          <w:bCs/>
          <w:sz w:val="24"/>
          <w:szCs w:val="24"/>
          <w:highlight w:val="none"/>
        </w:rPr>
      </w:pPr>
      <w:r>
        <w:rPr>
          <w:rFonts w:hint="eastAsia" w:ascii="宋体" w:hAnsi="宋体" w:cs="宋体"/>
          <w:b/>
          <w:bCs/>
          <w:sz w:val="24"/>
          <w:szCs w:val="24"/>
          <w:highlight w:val="none"/>
        </w:rPr>
        <w:t>第十一条：工程款支付</w:t>
      </w:r>
    </w:p>
    <w:p>
      <w:pPr>
        <w:shd w:val="clea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详见投标人须知前附表。</w:t>
      </w:r>
    </w:p>
    <w:p>
      <w:pPr>
        <w:shd w:val="clear"/>
        <w:spacing w:line="440" w:lineRule="exact"/>
        <w:rPr>
          <w:rFonts w:ascii="宋体" w:hAnsi="宋体" w:cs="宋体"/>
          <w:b/>
          <w:bCs/>
          <w:sz w:val="24"/>
          <w:szCs w:val="24"/>
          <w:highlight w:val="none"/>
        </w:rPr>
      </w:pPr>
      <w:r>
        <w:rPr>
          <w:rFonts w:hint="eastAsia" w:ascii="宋体" w:hAnsi="宋体" w:cs="宋体"/>
          <w:b/>
          <w:bCs/>
          <w:sz w:val="24"/>
          <w:szCs w:val="24"/>
          <w:highlight w:val="none"/>
        </w:rPr>
        <w:t>第十二条：履约保证金</w:t>
      </w:r>
    </w:p>
    <w:p>
      <w:pPr>
        <w:shd w:val="clea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承包方应在合同双方签字盖章后7日内向招标人提交经招标人认可的金融实体出具的合同总价10%的履约保证金（保函保证期限应等同于施工总工期）。</w:t>
      </w:r>
    </w:p>
    <w:p>
      <w:pPr>
        <w:shd w:val="clear"/>
        <w:spacing w:line="440" w:lineRule="exact"/>
        <w:rPr>
          <w:rFonts w:ascii="宋体" w:hAnsi="宋体" w:cs="宋体"/>
          <w:b/>
          <w:bCs/>
          <w:sz w:val="24"/>
          <w:szCs w:val="24"/>
          <w:highlight w:val="none"/>
        </w:rPr>
      </w:pPr>
      <w:r>
        <w:rPr>
          <w:rFonts w:hint="eastAsia" w:ascii="宋体" w:hAnsi="宋体" w:cs="宋体"/>
          <w:b/>
          <w:bCs/>
          <w:sz w:val="24"/>
          <w:szCs w:val="24"/>
          <w:highlight w:val="none"/>
        </w:rPr>
        <w:t>第十三条：招标人、承包方双方职责</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（一）招标人职责：</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1、负责构筑障碍物拆迁。</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2、提供工艺电气自动化设备及招标文件注明的主材。</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3、申请办理建设许可证和办理委托工程质量监督手续。</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4、负责组织图纸会审。</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5、提供符合承包方施工用的水、电接口，且接口</w:t>
      </w:r>
      <w:r>
        <w:rPr>
          <w:rFonts w:hint="eastAsia" w:ascii="宋体" w:hAnsi="宋体" w:cs="宋体"/>
          <w:bCs/>
          <w:sz w:val="24"/>
          <w:szCs w:val="24"/>
          <w:highlight w:val="none"/>
        </w:rPr>
        <w:t>在厂区围墙内</w:t>
      </w:r>
      <w:r>
        <w:rPr>
          <w:rFonts w:hint="eastAsia" w:ascii="宋体" w:hAnsi="宋体" w:cs="宋体"/>
          <w:sz w:val="24"/>
          <w:szCs w:val="24"/>
          <w:highlight w:val="none"/>
        </w:rPr>
        <w:t>。</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6、及时办理隐蔽工程和更改工程的签证。</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7、及时审核承包方报送的工程进度表并办理工程进度款的支付。</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8、指派施工现场代表。</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（二）承包方职责：</w:t>
      </w:r>
    </w:p>
    <w:p>
      <w:pPr>
        <w:shd w:val="clea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1、办理施工许可证和招标人要求的“动火证”、“临时用电审批证”、“出入证”等。</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2、组织人员熟悉图纸及有关资料、施工前应编制施工组织设计（或施工方案）和进度计划并及时提交给招标人。</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3、成立施工现场管理机构，项目负责人到位，指派施工现场代表。施工人员必须按投标编制承诺的人员组织及时安排到位。 </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4、对己完工工程在工程验收前，负责保管并做到工完场地清。</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5、及时向招标人提供开工，验收、竣工报告和工程进度报告单。</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6、负责从招标人提供的水、电接口续接施工用水和用电。电费、水管、电缆及计量表由承包方承担并负责安装。</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7、竣工验收前提交工程施工内业资料2份，竣工图2份（以上资料均应手续完整、资料齐全）。</w:t>
      </w:r>
    </w:p>
    <w:p>
      <w:pPr>
        <w:shd w:val="clea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8、承包方施工前必须与招标人签订安全协议，负责各自施工现场安全、防盗保卫工作。施工过程中，承包方的人身、财产安全自负，需购买所有现场人员的一定额度保险，发生任何安全事故招标人不负任何责任。</w:t>
      </w:r>
    </w:p>
    <w:p>
      <w:pPr>
        <w:shd w:val="clea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9、承包方在施工现场的施工垃圾应做到工完场地清。施工期内，承包方必须严格遵守招标人的规章制度，施工前应给每个进场的承包方人员宣贯招标人的相关规章制度。</w:t>
      </w:r>
    </w:p>
    <w:p>
      <w:pPr>
        <w:shd w:val="clea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10、承包方必须严格遵守</w:t>
      </w:r>
      <w:r>
        <w:rPr>
          <w:rFonts w:hint="eastAsia" w:ascii="宋体" w:hAnsi="宋体" w:eastAsia="宋体" w:cs="宋体"/>
          <w:b/>
          <w:bCs/>
          <w:i w:val="0"/>
          <w:color w:val="auto"/>
          <w:kern w:val="0"/>
          <w:sz w:val="24"/>
          <w:szCs w:val="24"/>
          <w:highlight w:val="none"/>
          <w:u w:val="none"/>
          <w:lang w:val="en-US" w:eastAsia="zh-CN" w:bidi="ar"/>
        </w:rPr>
        <w:t>《石府办抄字【2011】124号》</w:t>
      </w:r>
      <w:r>
        <w:rPr>
          <w:rFonts w:hint="eastAsia" w:ascii="宋体" w:hAnsi="宋体" w:cs="宋体"/>
          <w:sz w:val="24"/>
          <w:szCs w:val="24"/>
          <w:highlight w:val="none"/>
        </w:rPr>
        <w:t>文件精神，缴纳农民工保证金。</w:t>
      </w:r>
    </w:p>
    <w:p>
      <w:pPr>
        <w:shd w:val="clea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11、承包方负责在施工当地办理特种设备进场使用手续。</w:t>
      </w:r>
    </w:p>
    <w:p>
      <w:pPr>
        <w:shd w:val="clear"/>
        <w:spacing w:line="440" w:lineRule="exact"/>
        <w:rPr>
          <w:rFonts w:ascii="宋体" w:hAnsi="宋体" w:cs="宋体"/>
          <w:b/>
          <w:bCs/>
          <w:sz w:val="24"/>
          <w:szCs w:val="24"/>
          <w:highlight w:val="none"/>
        </w:rPr>
      </w:pPr>
      <w:r>
        <w:rPr>
          <w:rFonts w:hint="eastAsia" w:ascii="宋体" w:hAnsi="宋体" w:cs="宋体"/>
          <w:b/>
          <w:bCs/>
          <w:sz w:val="24"/>
          <w:szCs w:val="24"/>
          <w:highlight w:val="none"/>
        </w:rPr>
        <w:t>第十四条：若干事项说明</w:t>
      </w:r>
    </w:p>
    <w:p>
      <w:pPr>
        <w:shd w:val="clear"/>
        <w:spacing w:line="440" w:lineRule="exact"/>
        <w:jc w:val="left"/>
        <w:rPr>
          <w:rFonts w:ascii="宋体" w:hAnsi="宋体" w:cs="宋体"/>
          <w:sz w:val="24"/>
          <w:szCs w:val="24"/>
          <w:highlight w:val="none"/>
        </w:rPr>
      </w:pPr>
      <w:r>
        <w:rPr>
          <w:rFonts w:hint="eastAsia" w:ascii="宋体" w:hAnsi="宋体" w:cs="宋体"/>
          <w:sz w:val="24"/>
          <w:szCs w:val="24"/>
          <w:highlight w:val="none"/>
        </w:rPr>
        <w:t xml:space="preserve">    1、在厂区施工应注意查明厂区的隐蔽工程（含地下管道、电缆、防雷设施等），双方应密切配合，确保安全施工。                                                                    </w:t>
      </w:r>
    </w:p>
    <w:p>
      <w:pPr>
        <w:shd w:val="clear"/>
        <w:spacing w:line="440" w:lineRule="exact"/>
        <w:ind w:left="-100" w:leftChars="-50" w:firstLine="540" w:firstLineChars="225"/>
        <w:jc w:val="left"/>
        <w:rPr>
          <w:rFonts w:ascii="宋体" w:hAnsi="宋体" w:cs="宋体"/>
          <w:sz w:val="24"/>
          <w:szCs w:val="24"/>
          <w:highlight w:val="none"/>
        </w:rPr>
      </w:pPr>
      <w:r>
        <w:rPr>
          <w:rFonts w:hint="eastAsia" w:ascii="宋体" w:hAnsi="宋体" w:cs="宋体"/>
          <w:sz w:val="24"/>
          <w:szCs w:val="24"/>
          <w:highlight w:val="none"/>
        </w:rPr>
        <w:t>2、施工中因停水、停电造成停工，若累计天数超过1天，则按超过的天数，工期顺延，停水停电双方及时办理签证（以每日上午8时至下午6时停水电连续时间4小时起计）。</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3、若招标人计划变更、施工图未能按时交付，招标人提供的设备、材料未能按时到货和工程款未能按时支付，经采取补救措施后，仍明显影响施工进度时，则工期相应顺延。</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4、工程施工中承包方应切实做好安全生产工作，若发生设备和人身安全事故，其责任由承包方自负。</w:t>
      </w:r>
    </w:p>
    <w:p>
      <w:pPr>
        <w:shd w:val="clear"/>
        <w:spacing w:line="440" w:lineRule="exact"/>
        <w:ind w:firstLine="570"/>
        <w:rPr>
          <w:rFonts w:ascii="宋体" w:hAnsi="宋体" w:cs="宋体"/>
          <w:sz w:val="24"/>
          <w:szCs w:val="24"/>
          <w:highlight w:val="none"/>
        </w:rPr>
      </w:pPr>
      <w:r>
        <w:rPr>
          <w:rFonts w:hint="eastAsia" w:ascii="宋体" w:hAnsi="宋体" w:cs="宋体"/>
          <w:sz w:val="24"/>
          <w:szCs w:val="24"/>
          <w:highlight w:val="none"/>
        </w:rPr>
        <w:t>5、遇不可抗力的自然灾害，工期顺延。若造成损失，双方应及时采取补救措施。</w:t>
      </w:r>
    </w:p>
    <w:p>
      <w:pPr>
        <w:shd w:val="clear"/>
        <w:spacing w:line="440" w:lineRule="exact"/>
        <w:rPr>
          <w:rFonts w:ascii="宋体" w:hAnsi="宋体" w:cs="宋体"/>
          <w:b/>
          <w:bCs/>
          <w:sz w:val="24"/>
          <w:szCs w:val="24"/>
          <w:highlight w:val="none"/>
        </w:rPr>
      </w:pPr>
      <w:r>
        <w:rPr>
          <w:rFonts w:hint="eastAsia" w:ascii="宋体" w:hAnsi="宋体" w:cs="宋体"/>
          <w:b/>
          <w:bCs/>
          <w:sz w:val="24"/>
          <w:szCs w:val="24"/>
          <w:highlight w:val="none"/>
        </w:rPr>
        <w:t>第十五条：违约责任</w:t>
      </w:r>
    </w:p>
    <w:p>
      <w:pPr>
        <w:shd w:val="clear"/>
        <w:tabs>
          <w:tab w:val="left" w:pos="180"/>
        </w:tabs>
        <w:spacing w:line="440" w:lineRule="exact"/>
        <w:ind w:firstLine="573"/>
        <w:rPr>
          <w:rFonts w:ascii="宋体" w:hAnsi="宋体" w:cs="宋体"/>
          <w:sz w:val="24"/>
          <w:szCs w:val="24"/>
          <w:highlight w:val="none"/>
        </w:rPr>
      </w:pPr>
      <w:r>
        <w:rPr>
          <w:rFonts w:hint="eastAsia" w:ascii="宋体" w:hAnsi="宋体" w:cs="宋体"/>
          <w:sz w:val="24"/>
          <w:szCs w:val="24"/>
          <w:highlight w:val="none"/>
        </w:rPr>
        <w:t>1、解除本合同的责任约定：除了不可抗拒因素外，解除本合同需经过双方协商同意。否则，若招标人无故单方面解除合同，应接受本合同罚款；若承包方无故单方面解除合同或不完全履行合同，应及时退还本合同预付款给招标人，并接受合同罚款。同时，守约方有权选择解除合同或要求对方继续履行合同。</w:t>
      </w:r>
    </w:p>
    <w:p>
      <w:pPr>
        <w:shd w:val="clear"/>
        <w:spacing w:line="440" w:lineRule="exact"/>
        <w:ind w:firstLine="573"/>
        <w:rPr>
          <w:rFonts w:ascii="宋体" w:hAnsi="宋体" w:cs="宋体"/>
          <w:sz w:val="24"/>
          <w:szCs w:val="24"/>
          <w:highlight w:val="none"/>
        </w:rPr>
      </w:pPr>
      <w:r>
        <w:rPr>
          <w:rFonts w:hint="eastAsia" w:ascii="宋体" w:hAnsi="宋体" w:cs="宋体"/>
          <w:sz w:val="24"/>
          <w:szCs w:val="24"/>
          <w:highlight w:val="none"/>
        </w:rPr>
        <w:t>2、因承包方原因，包括施工人员组织不力、施工器具配备不足、材料供应不及时、施工质量不合合同要求等原因，致使施工工期未能按约定的阶段施工工期进度要求，任一分项项目的任一施工阶段工期延误，承包方应支付违约金。</w:t>
      </w:r>
    </w:p>
    <w:p>
      <w:pPr>
        <w:shd w:val="clear"/>
        <w:spacing w:line="440" w:lineRule="exact"/>
        <w:ind w:firstLine="573"/>
        <w:rPr>
          <w:rFonts w:ascii="宋体" w:hAnsi="宋体" w:cs="宋体"/>
          <w:sz w:val="24"/>
          <w:szCs w:val="24"/>
          <w:highlight w:val="none"/>
        </w:rPr>
      </w:pPr>
      <w:r>
        <w:rPr>
          <w:rFonts w:hint="eastAsia" w:ascii="宋体" w:hAnsi="宋体" w:cs="宋体"/>
          <w:sz w:val="24"/>
          <w:szCs w:val="24"/>
          <w:highlight w:val="none"/>
        </w:rPr>
        <w:t>3、未尽违约责任依据《合同法》执行。</w:t>
      </w:r>
    </w:p>
    <w:p>
      <w:pPr>
        <w:shd w:val="clear"/>
        <w:spacing w:line="440" w:lineRule="exact"/>
        <w:rPr>
          <w:rFonts w:ascii="宋体" w:hAnsi="宋体" w:cs="宋体"/>
          <w:b/>
          <w:bCs/>
          <w:sz w:val="24"/>
          <w:szCs w:val="24"/>
          <w:highlight w:val="none"/>
        </w:rPr>
      </w:pPr>
      <w:r>
        <w:rPr>
          <w:rFonts w:hint="eastAsia" w:ascii="宋体" w:hAnsi="宋体" w:cs="宋体"/>
          <w:b/>
          <w:bCs/>
          <w:sz w:val="24"/>
          <w:szCs w:val="24"/>
          <w:highlight w:val="none"/>
        </w:rPr>
        <w:t>第十六条  组成安装合同的文件</w:t>
      </w:r>
    </w:p>
    <w:p>
      <w:pPr>
        <w:shd w:val="clear"/>
        <w:tabs>
          <w:tab w:val="left" w:pos="964"/>
        </w:tabs>
        <w:spacing w:line="440" w:lineRule="exact"/>
        <w:ind w:firstLine="480" w:firstLineChars="200"/>
        <w:rPr>
          <w:rFonts w:ascii="宋体" w:hAnsi="宋体" w:cs="宋体"/>
          <w:sz w:val="24"/>
          <w:highlight w:val="none"/>
          <w:lang w:val="en-GB"/>
        </w:rPr>
      </w:pPr>
      <w:r>
        <w:rPr>
          <w:rFonts w:hint="eastAsia" w:ascii="宋体" w:hAnsi="宋体" w:cs="宋体"/>
          <w:sz w:val="24"/>
          <w:highlight w:val="none"/>
          <w:lang w:val="en-GB"/>
        </w:rPr>
        <w:t>合同文件各组成部分为一有机整体，互为解释、补充与说明，</w:t>
      </w:r>
      <w:r>
        <w:rPr>
          <w:rFonts w:hint="eastAsia" w:ascii="宋体" w:hAnsi="宋体" w:cs="宋体"/>
          <w:sz w:val="24"/>
          <w:highlight w:val="none"/>
        </w:rPr>
        <w:t>均具法律效力；</w:t>
      </w:r>
      <w:r>
        <w:rPr>
          <w:rFonts w:hint="eastAsia" w:ascii="宋体" w:hAnsi="宋体" w:cs="宋体"/>
          <w:sz w:val="24"/>
          <w:highlight w:val="none"/>
          <w:lang w:val="en-GB"/>
        </w:rPr>
        <w:t>其组成与解释顺序如下：</w:t>
      </w:r>
    </w:p>
    <w:p>
      <w:pPr>
        <w:shd w:val="clear"/>
        <w:spacing w:line="440" w:lineRule="exact"/>
        <w:ind w:firstLine="480" w:firstLineChars="200"/>
        <w:rPr>
          <w:rFonts w:ascii="宋体" w:hAnsi="宋体" w:cs="宋体"/>
          <w:sz w:val="24"/>
          <w:highlight w:val="none"/>
          <w:lang w:val="en-GB"/>
        </w:rPr>
      </w:pPr>
      <w:r>
        <w:rPr>
          <w:rFonts w:hint="eastAsia" w:ascii="宋体" w:hAnsi="宋体" w:cs="宋体"/>
          <w:sz w:val="24"/>
          <w:highlight w:val="none"/>
        </w:rPr>
        <w:t>1.</w:t>
      </w:r>
      <w:r>
        <w:rPr>
          <w:rFonts w:hint="eastAsia" w:ascii="宋体" w:hAnsi="宋体" w:cs="宋体"/>
          <w:sz w:val="24"/>
          <w:highlight w:val="none"/>
          <w:lang w:val="en-GB"/>
        </w:rPr>
        <w:t xml:space="preserve"> 招标人与承包商签订的补充协议（如有）</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2．</w:t>
      </w:r>
      <w:bookmarkStart w:id="28" w:name="_Hlk531076167"/>
      <w:r>
        <w:rPr>
          <w:rFonts w:hint="eastAsia" w:ascii="宋体" w:hAnsi="宋体" w:cs="宋体"/>
          <w:sz w:val="24"/>
          <w:highlight w:val="none"/>
        </w:rPr>
        <w:t>《机电设备安装工程合同书》及附件</w:t>
      </w:r>
      <w:bookmarkEnd w:id="28"/>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3．</w:t>
      </w:r>
      <w:r>
        <w:rPr>
          <w:rFonts w:hint="eastAsia" w:ascii="宋体" w:hAnsi="宋体" w:cs="宋体"/>
          <w:sz w:val="24"/>
          <w:highlight w:val="none"/>
          <w:lang w:val="en-GB"/>
        </w:rPr>
        <w:t>中标通知书（包括双方签署的来往函件及有关资料）</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4.《投标文件》及其附件</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5．招标文件（含</w:t>
      </w:r>
      <w:r>
        <w:rPr>
          <w:rFonts w:hint="eastAsia" w:ascii="宋体" w:hAnsi="宋体" w:cs="宋体"/>
          <w:sz w:val="24"/>
          <w:highlight w:val="none"/>
          <w:lang w:val="en-GB"/>
        </w:rPr>
        <w:t>投标须知）</w:t>
      </w:r>
      <w:r>
        <w:rPr>
          <w:rFonts w:hint="eastAsia" w:ascii="宋体" w:hAnsi="宋体" w:cs="宋体"/>
          <w:sz w:val="24"/>
          <w:highlight w:val="none"/>
        </w:rPr>
        <w:t>、答疑文件等</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6．标准、规范及有关技术文件</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7．有关图纸及相关的设计说明</w:t>
      </w:r>
    </w:p>
    <w:p>
      <w:pPr>
        <w:shd w:val="clear"/>
        <w:spacing w:line="440" w:lineRule="exact"/>
        <w:ind w:firstLine="480" w:firstLineChars="200"/>
        <w:rPr>
          <w:rFonts w:ascii="宋体" w:hAnsi="宋体" w:cs="宋体"/>
          <w:sz w:val="24"/>
          <w:highlight w:val="none"/>
        </w:rPr>
      </w:pPr>
      <w:r>
        <w:rPr>
          <w:rFonts w:hint="eastAsia" w:ascii="宋体" w:hAnsi="宋体" w:cs="宋体"/>
          <w:sz w:val="24"/>
          <w:highlight w:val="none"/>
        </w:rPr>
        <w:t xml:space="preserve">8. </w:t>
      </w:r>
      <w:r>
        <w:rPr>
          <w:rFonts w:hint="eastAsia" w:ascii="宋体" w:hAnsi="宋体" w:cs="宋体"/>
          <w:sz w:val="24"/>
          <w:highlight w:val="none"/>
          <w:lang w:val="en-GB"/>
        </w:rPr>
        <w:t>工程规范</w:t>
      </w:r>
    </w:p>
    <w:p>
      <w:pPr>
        <w:shd w:val="clear"/>
        <w:tabs>
          <w:tab w:val="left" w:pos="964"/>
        </w:tabs>
        <w:spacing w:line="440" w:lineRule="exact"/>
        <w:ind w:firstLine="480" w:firstLineChars="200"/>
        <w:rPr>
          <w:rFonts w:ascii="宋体" w:hAnsi="宋体" w:cs="宋体"/>
          <w:sz w:val="24"/>
          <w:highlight w:val="none"/>
          <w:lang w:val="en-GB"/>
        </w:rPr>
      </w:pPr>
      <w:r>
        <w:rPr>
          <w:rFonts w:hint="eastAsia" w:ascii="宋体" w:hAnsi="宋体" w:cs="宋体"/>
          <w:sz w:val="24"/>
          <w:highlight w:val="none"/>
          <w:lang w:val="en-GB"/>
        </w:rPr>
        <w:t>如果合同文件的各组成部分或条款或条件发生不一致时，应按上述文件的排列顺序先优于后及有利于招标人的原则进行解释；若据此仍无法获得一致理解，双方应本着诚信原则在全面理解合同文件内容的基础上友好协商达成一致，招标人保留最终解释权。</w:t>
      </w:r>
    </w:p>
    <w:p>
      <w:pPr>
        <w:shd w:val="clear"/>
        <w:spacing w:line="440" w:lineRule="exact"/>
        <w:rPr>
          <w:rFonts w:ascii="宋体" w:hAnsi="宋体" w:cs="宋体"/>
          <w:b/>
          <w:bCs/>
          <w:sz w:val="24"/>
          <w:szCs w:val="24"/>
          <w:highlight w:val="none"/>
        </w:rPr>
      </w:pPr>
      <w:r>
        <w:rPr>
          <w:rFonts w:hint="eastAsia" w:ascii="宋体" w:hAnsi="宋体" w:cs="宋体"/>
          <w:b/>
          <w:bCs/>
          <w:sz w:val="24"/>
          <w:szCs w:val="24"/>
          <w:highlight w:val="none"/>
        </w:rPr>
        <w:t>第十七条：合同纠纷解决办法</w:t>
      </w:r>
    </w:p>
    <w:p>
      <w:pPr>
        <w:shd w:val="clear"/>
        <w:tabs>
          <w:tab w:val="left" w:pos="180"/>
        </w:tabs>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1、本合同在履行过程中发生的一切纠纷，双方应通过友好协商进行解决；</w:t>
      </w:r>
    </w:p>
    <w:p>
      <w:pPr>
        <w:shd w:val="clear"/>
        <w:tabs>
          <w:tab w:val="left" w:pos="180"/>
        </w:tabs>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2、如果通过协商仍不能得到解决，</w:t>
      </w:r>
      <w:bookmarkStart w:id="29" w:name="_Hlk531075853"/>
      <w:r>
        <w:rPr>
          <w:rFonts w:hint="eastAsia" w:ascii="宋体" w:hAnsi="宋体" w:cs="宋体"/>
          <w:sz w:val="24"/>
          <w:szCs w:val="24"/>
          <w:highlight w:val="none"/>
        </w:rPr>
        <w:t>向项目所在地</w:t>
      </w:r>
      <w:r>
        <w:rPr>
          <w:rFonts w:hint="eastAsia" w:ascii="宋体" w:hAnsi="宋体" w:cs="宋体"/>
          <w:sz w:val="24"/>
          <w:highlight w:val="none"/>
        </w:rPr>
        <w:t>人民</w:t>
      </w:r>
      <w:bookmarkEnd w:id="29"/>
      <w:r>
        <w:rPr>
          <w:rFonts w:hint="eastAsia" w:ascii="宋体" w:hAnsi="宋体" w:cs="宋体"/>
          <w:sz w:val="24"/>
          <w:szCs w:val="24"/>
          <w:highlight w:val="none"/>
        </w:rPr>
        <w:t xml:space="preserve">法院起诉。 </w:t>
      </w:r>
    </w:p>
    <w:p>
      <w:pPr>
        <w:shd w:val="clear"/>
        <w:spacing w:line="440" w:lineRule="exact"/>
        <w:rPr>
          <w:rFonts w:ascii="宋体" w:hAnsi="宋体" w:cs="宋体"/>
          <w:b/>
          <w:bCs/>
          <w:sz w:val="24"/>
          <w:szCs w:val="24"/>
          <w:highlight w:val="none"/>
        </w:rPr>
      </w:pPr>
      <w:r>
        <w:rPr>
          <w:rFonts w:hint="eastAsia" w:ascii="宋体" w:hAnsi="宋体" w:cs="宋体"/>
          <w:b/>
          <w:bCs/>
          <w:sz w:val="24"/>
          <w:szCs w:val="24"/>
          <w:highlight w:val="none"/>
        </w:rPr>
        <w:t>第十八条：双方驻现场代表</w:t>
      </w:r>
    </w:p>
    <w:p>
      <w:pPr>
        <w:shd w:val="clea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1、招标人委派     为现场代表。</w:t>
      </w:r>
    </w:p>
    <w:p>
      <w:pPr>
        <w:shd w:val="clea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2、承包方委派     为现场代表。</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 xml:space="preserve">    双方现场代表负责联系、处理施工中的日常事务，并对工程质量、工程进度及施工安全实施监理。</w:t>
      </w:r>
    </w:p>
    <w:p>
      <w:pPr>
        <w:shd w:val="clear"/>
        <w:spacing w:line="440" w:lineRule="exact"/>
        <w:rPr>
          <w:rFonts w:ascii="宋体" w:hAnsi="宋体" w:cs="宋体"/>
          <w:b/>
          <w:bCs/>
          <w:sz w:val="24"/>
          <w:szCs w:val="24"/>
          <w:highlight w:val="none"/>
        </w:rPr>
      </w:pPr>
      <w:r>
        <w:rPr>
          <w:rFonts w:hint="eastAsia" w:ascii="宋体" w:hAnsi="宋体" w:cs="宋体"/>
          <w:b/>
          <w:bCs/>
          <w:sz w:val="24"/>
          <w:szCs w:val="24"/>
          <w:highlight w:val="none"/>
        </w:rPr>
        <w:t>第十九条：</w:t>
      </w:r>
      <w:r>
        <w:rPr>
          <w:rFonts w:hint="eastAsia" w:ascii="宋体" w:hAnsi="宋体" w:cs="宋体"/>
          <w:b/>
          <w:sz w:val="24"/>
          <w:szCs w:val="24"/>
          <w:highlight w:val="none"/>
        </w:rPr>
        <w:t>合同生效条件及其它约定</w:t>
      </w:r>
      <w:r>
        <w:rPr>
          <w:rFonts w:hint="eastAsia" w:ascii="宋体" w:hAnsi="宋体" w:cs="宋体"/>
          <w:b/>
          <w:bCs/>
          <w:sz w:val="24"/>
          <w:szCs w:val="24"/>
          <w:highlight w:val="none"/>
        </w:rPr>
        <w:t xml:space="preserve"> </w:t>
      </w:r>
    </w:p>
    <w:p>
      <w:pPr>
        <w:numPr>
          <w:ilvl w:val="0"/>
          <w:numId w:val="11"/>
        </w:numPr>
        <w:shd w:val="clear"/>
        <w:tabs>
          <w:tab w:val="left" w:pos="0"/>
          <w:tab w:val="clear" w:pos="420"/>
        </w:tabs>
        <w:spacing w:line="440" w:lineRule="exact"/>
        <w:ind w:left="0" w:firstLine="460" w:firstLineChars="192"/>
        <w:rPr>
          <w:rFonts w:ascii="宋体" w:hAnsi="宋体" w:cs="宋体"/>
          <w:sz w:val="24"/>
          <w:szCs w:val="24"/>
          <w:highlight w:val="none"/>
        </w:rPr>
      </w:pPr>
      <w:r>
        <w:rPr>
          <w:rFonts w:hint="eastAsia" w:ascii="宋体" w:hAnsi="宋体" w:cs="宋体"/>
          <w:sz w:val="24"/>
          <w:szCs w:val="24"/>
          <w:highlight w:val="none"/>
        </w:rPr>
        <w:t>本合同经双方签字盖章即具有法律效力，未经双方同意，不得变更。对本合同的任何修改、变更均应以书面形式并经双方签字盖章方为有效。</w:t>
      </w:r>
    </w:p>
    <w:p>
      <w:pPr>
        <w:numPr>
          <w:ilvl w:val="0"/>
          <w:numId w:val="11"/>
        </w:numPr>
        <w:shd w:val="clear"/>
        <w:tabs>
          <w:tab w:val="left" w:pos="0"/>
          <w:tab w:val="clear" w:pos="420"/>
        </w:tabs>
        <w:spacing w:line="440" w:lineRule="exact"/>
        <w:ind w:left="0" w:firstLine="460" w:firstLineChars="192"/>
        <w:rPr>
          <w:rFonts w:ascii="宋体" w:hAnsi="宋体" w:cs="宋体"/>
          <w:sz w:val="24"/>
          <w:szCs w:val="24"/>
          <w:highlight w:val="none"/>
        </w:rPr>
      </w:pPr>
      <w:r>
        <w:rPr>
          <w:rFonts w:hint="eastAsia" w:ascii="宋体" w:hAnsi="宋体" w:cs="宋体"/>
          <w:sz w:val="24"/>
          <w:szCs w:val="24"/>
          <w:highlight w:val="none"/>
        </w:rPr>
        <w:t>本合同在如下情况下可以解除:</w:t>
      </w:r>
    </w:p>
    <w:p>
      <w:pPr>
        <w:numPr>
          <w:ilvl w:val="3"/>
          <w:numId w:val="11"/>
        </w:numPr>
        <w:shd w:val="clear"/>
        <w:tabs>
          <w:tab w:val="left" w:pos="1080"/>
          <w:tab w:val="clear" w:pos="2880"/>
        </w:tabs>
        <w:spacing w:line="440" w:lineRule="exact"/>
        <w:ind w:left="0" w:firstLine="360"/>
        <w:rPr>
          <w:rFonts w:ascii="宋体" w:hAnsi="宋体" w:cs="宋体"/>
          <w:sz w:val="24"/>
          <w:szCs w:val="24"/>
          <w:highlight w:val="none"/>
        </w:rPr>
      </w:pPr>
      <w:r>
        <w:rPr>
          <w:rFonts w:hint="eastAsia" w:ascii="宋体" w:hAnsi="宋体" w:cs="宋体"/>
          <w:sz w:val="24"/>
          <w:szCs w:val="24"/>
          <w:highlight w:val="none"/>
        </w:rPr>
        <w:t>双方协商一致同意解除；</w:t>
      </w:r>
    </w:p>
    <w:p>
      <w:pPr>
        <w:numPr>
          <w:ilvl w:val="3"/>
          <w:numId w:val="11"/>
        </w:numPr>
        <w:shd w:val="clear"/>
        <w:tabs>
          <w:tab w:val="left" w:pos="1080"/>
          <w:tab w:val="clear" w:pos="2880"/>
        </w:tabs>
        <w:spacing w:line="440" w:lineRule="exact"/>
        <w:ind w:left="0" w:firstLine="360"/>
        <w:rPr>
          <w:rFonts w:ascii="宋体" w:hAnsi="宋体" w:cs="宋体"/>
          <w:sz w:val="24"/>
          <w:szCs w:val="24"/>
          <w:highlight w:val="none"/>
        </w:rPr>
      </w:pPr>
      <w:r>
        <w:rPr>
          <w:rFonts w:hint="eastAsia" w:ascii="宋体" w:hAnsi="宋体" w:cs="宋体"/>
          <w:sz w:val="24"/>
          <w:szCs w:val="24"/>
          <w:highlight w:val="none"/>
        </w:rPr>
        <w:t>发生不可抗力致使本合同无法履行超过90天。</w:t>
      </w:r>
    </w:p>
    <w:p>
      <w:pPr>
        <w:numPr>
          <w:ilvl w:val="3"/>
          <w:numId w:val="11"/>
        </w:numPr>
        <w:shd w:val="clear"/>
        <w:tabs>
          <w:tab w:val="left" w:pos="1080"/>
          <w:tab w:val="clear" w:pos="2880"/>
        </w:tabs>
        <w:spacing w:line="440" w:lineRule="exact"/>
        <w:ind w:left="0" w:firstLine="360"/>
        <w:rPr>
          <w:rFonts w:ascii="宋体" w:hAnsi="宋体" w:cs="宋体"/>
          <w:sz w:val="24"/>
          <w:szCs w:val="24"/>
          <w:highlight w:val="none"/>
        </w:rPr>
      </w:pPr>
      <w:r>
        <w:rPr>
          <w:rFonts w:hint="eastAsia" w:ascii="宋体" w:hAnsi="宋体" w:cs="宋体"/>
          <w:sz w:val="24"/>
          <w:szCs w:val="24"/>
          <w:highlight w:val="none"/>
        </w:rPr>
        <w:t>因承包方原因，包括承包方施工人员和</w:t>
      </w:r>
      <w:r>
        <w:rPr>
          <w:rFonts w:hint="eastAsia" w:ascii="宋体" w:hAnsi="宋体" w:cs="宋体"/>
          <w:bCs/>
          <w:sz w:val="24"/>
          <w:szCs w:val="24"/>
          <w:highlight w:val="none"/>
        </w:rPr>
        <w:t>施工机具</w:t>
      </w:r>
      <w:r>
        <w:rPr>
          <w:rFonts w:hint="eastAsia" w:ascii="宋体" w:hAnsi="宋体" w:cs="宋体"/>
          <w:sz w:val="24"/>
          <w:szCs w:val="24"/>
          <w:highlight w:val="none"/>
        </w:rPr>
        <w:t>没有按投标书编制承诺的人员、机具数量安排到位，或施工人员组织不力、施工器具配备不足、材料供应不及时、施工质量不合合同要求等原因，致使施工工期未能按约定的阶段施工工期进度要求，任一分项项目的任一施工阶段进度延后超过10天，可视同承包方资质不足，招标人有权单方面解除本合同，或部分解除本合同，减少承包方的施工范围。承包方承担不履行或不完全履行合同及其它情形约定的违约责任。</w:t>
      </w:r>
    </w:p>
    <w:p>
      <w:pPr>
        <w:numPr>
          <w:ilvl w:val="0"/>
          <w:numId w:val="11"/>
        </w:numPr>
        <w:shd w:val="clear"/>
        <w:tabs>
          <w:tab w:val="left" w:pos="0"/>
          <w:tab w:val="clear" w:pos="420"/>
        </w:tabs>
        <w:spacing w:line="440" w:lineRule="exact"/>
        <w:ind w:left="0" w:firstLine="460" w:firstLineChars="192"/>
        <w:rPr>
          <w:rFonts w:ascii="宋体" w:hAnsi="宋体" w:cs="宋体"/>
          <w:sz w:val="24"/>
          <w:szCs w:val="24"/>
          <w:highlight w:val="none"/>
        </w:rPr>
      </w:pPr>
      <w:r>
        <w:rPr>
          <w:rFonts w:hint="eastAsia" w:ascii="宋体" w:hAnsi="宋体" w:cs="宋体"/>
          <w:sz w:val="24"/>
          <w:szCs w:val="24"/>
          <w:highlight w:val="none"/>
        </w:rPr>
        <w:t>如果本合同的任何条款被法院或仲裁机构认定无效，并不影响其它条款的效力。</w:t>
      </w:r>
    </w:p>
    <w:p>
      <w:pPr>
        <w:numPr>
          <w:ilvl w:val="0"/>
          <w:numId w:val="11"/>
        </w:numPr>
        <w:shd w:val="clear"/>
        <w:tabs>
          <w:tab w:val="left" w:pos="0"/>
          <w:tab w:val="clear" w:pos="420"/>
        </w:tabs>
        <w:spacing w:line="440" w:lineRule="exact"/>
        <w:ind w:left="0" w:firstLine="460" w:firstLineChars="192"/>
        <w:rPr>
          <w:rFonts w:ascii="宋体" w:hAnsi="宋体" w:cs="宋体"/>
          <w:sz w:val="24"/>
          <w:szCs w:val="24"/>
          <w:highlight w:val="none"/>
        </w:rPr>
      </w:pPr>
      <w:r>
        <w:rPr>
          <w:rFonts w:hint="eastAsia" w:ascii="宋体" w:hAnsi="宋体" w:cs="宋体"/>
          <w:sz w:val="24"/>
          <w:szCs w:val="24"/>
          <w:highlight w:val="none"/>
        </w:rPr>
        <w:t>本合同第十六条所列的合同组成文件均具法律效力。优先解释顺序按第十四条文件编号顺序。</w:t>
      </w:r>
    </w:p>
    <w:p>
      <w:pPr>
        <w:numPr>
          <w:ilvl w:val="0"/>
          <w:numId w:val="11"/>
        </w:numPr>
        <w:shd w:val="clear"/>
        <w:tabs>
          <w:tab w:val="left" w:pos="0"/>
          <w:tab w:val="clear" w:pos="420"/>
        </w:tabs>
        <w:spacing w:line="440" w:lineRule="exact"/>
        <w:ind w:left="0" w:firstLine="460" w:firstLineChars="192"/>
        <w:rPr>
          <w:rFonts w:ascii="宋体" w:hAnsi="宋体" w:cs="宋体"/>
          <w:sz w:val="24"/>
          <w:szCs w:val="24"/>
          <w:highlight w:val="none"/>
        </w:rPr>
      </w:pPr>
      <w:r>
        <w:rPr>
          <w:rFonts w:hint="eastAsia" w:ascii="宋体" w:hAnsi="宋体" w:cs="宋体"/>
          <w:sz w:val="24"/>
          <w:szCs w:val="24"/>
          <w:highlight w:val="none"/>
        </w:rPr>
        <w:t>本合同中未尽事宜，由双方协商解决并形成书面文件，与本合同具有同等法律效力。</w:t>
      </w:r>
    </w:p>
    <w:p>
      <w:pPr>
        <w:numPr>
          <w:ilvl w:val="0"/>
          <w:numId w:val="11"/>
        </w:numPr>
        <w:shd w:val="clear"/>
        <w:tabs>
          <w:tab w:val="left" w:pos="0"/>
          <w:tab w:val="clear" w:pos="420"/>
        </w:tabs>
        <w:spacing w:line="440" w:lineRule="exact"/>
        <w:ind w:left="0" w:firstLine="460" w:firstLineChars="192"/>
        <w:rPr>
          <w:rFonts w:ascii="宋体" w:hAnsi="宋体" w:cs="宋体"/>
          <w:sz w:val="24"/>
          <w:szCs w:val="24"/>
          <w:highlight w:val="none"/>
        </w:rPr>
      </w:pPr>
      <w:r>
        <w:rPr>
          <w:rFonts w:hint="eastAsia" w:ascii="宋体" w:hAnsi="宋体" w:cs="宋体"/>
          <w:sz w:val="24"/>
          <w:szCs w:val="24"/>
          <w:highlight w:val="none"/>
        </w:rPr>
        <w:t>经双方法定代表人或法定代表人委托人签字，加盖单位公章生效，至合同工程竣工，结清工程余款后终止。</w:t>
      </w:r>
    </w:p>
    <w:p>
      <w:pPr>
        <w:numPr>
          <w:ilvl w:val="0"/>
          <w:numId w:val="11"/>
        </w:numPr>
        <w:shd w:val="clear"/>
        <w:tabs>
          <w:tab w:val="left" w:pos="0"/>
          <w:tab w:val="clear" w:pos="420"/>
        </w:tabs>
        <w:spacing w:line="440" w:lineRule="exact"/>
        <w:ind w:left="0" w:firstLine="460" w:firstLineChars="192"/>
        <w:rPr>
          <w:rFonts w:ascii="宋体" w:hAnsi="宋体" w:cs="宋体"/>
          <w:sz w:val="24"/>
          <w:szCs w:val="24"/>
          <w:highlight w:val="none"/>
        </w:rPr>
      </w:pPr>
      <w:r>
        <w:rPr>
          <w:rFonts w:hint="eastAsia" w:ascii="宋体" w:hAnsi="宋体" w:cs="宋体"/>
          <w:sz w:val="24"/>
          <w:szCs w:val="24"/>
          <w:highlight w:val="none"/>
        </w:rPr>
        <w:t>本合同正本一式两份，双方各执一份。副本一式十二份，双方各执六份。</w:t>
      </w:r>
    </w:p>
    <w:p>
      <w:pPr>
        <w:shd w:val="clear"/>
        <w:tabs>
          <w:tab w:val="left" w:pos="0"/>
        </w:tabs>
        <w:spacing w:line="440" w:lineRule="exact"/>
        <w:rPr>
          <w:rFonts w:ascii="宋体" w:hAnsi="宋体" w:cs="宋体"/>
          <w:b/>
          <w:sz w:val="24"/>
          <w:szCs w:val="24"/>
          <w:highlight w:val="none"/>
        </w:rPr>
      </w:pPr>
      <w:bookmarkStart w:id="30" w:name="_Hlk531077059"/>
      <w:r>
        <w:rPr>
          <w:rFonts w:hint="eastAsia" w:ascii="宋体" w:hAnsi="宋体" w:cs="宋体"/>
          <w:b/>
          <w:sz w:val="24"/>
          <w:szCs w:val="24"/>
          <w:highlight w:val="none"/>
        </w:rPr>
        <w:t>第二十条：特别声明</w:t>
      </w:r>
    </w:p>
    <w:bookmarkEnd w:id="30"/>
    <w:p>
      <w:pPr>
        <w:shd w:val="clear"/>
        <w:tabs>
          <w:tab w:val="left" w:pos="0"/>
        </w:tabs>
        <w:spacing w:line="440" w:lineRule="exact"/>
        <w:ind w:firstLine="480" w:firstLineChars="200"/>
        <w:rPr>
          <w:rFonts w:ascii="宋体" w:hAnsi="宋体" w:cs="宋体"/>
          <w:kern w:val="2"/>
          <w:sz w:val="24"/>
          <w:highlight w:val="none"/>
        </w:rPr>
      </w:pPr>
      <w:r>
        <w:rPr>
          <w:rFonts w:hint="eastAsia" w:ascii="宋体" w:hAnsi="宋体" w:cs="宋体"/>
          <w:kern w:val="2"/>
          <w:sz w:val="24"/>
          <w:highlight w:val="none"/>
        </w:rPr>
        <w:t>本合同主要条款为招标文件的重要组成部分。对于本章合同条款，投标方如不响应或有偏离，均应在投标文件中予以明示，否则一律视为响应本章合同条款并构成承包合同的一部分。</w:t>
      </w:r>
    </w:p>
    <w:p>
      <w:pPr>
        <w:shd w:val="clear"/>
        <w:spacing w:line="440" w:lineRule="exact"/>
        <w:rPr>
          <w:rFonts w:ascii="宋体" w:hAnsi="宋体" w:cs="宋体"/>
          <w:sz w:val="24"/>
          <w:szCs w:val="24"/>
          <w:highlight w:val="none"/>
        </w:rPr>
      </w:pPr>
    </w:p>
    <w:p>
      <w:pPr>
        <w:shd w:val="clear"/>
        <w:spacing w:line="440" w:lineRule="exact"/>
        <w:ind w:firstLine="540" w:firstLineChars="225"/>
        <w:rPr>
          <w:rFonts w:ascii="宋体" w:hAnsi="宋体" w:cs="宋体"/>
          <w:sz w:val="24"/>
          <w:szCs w:val="24"/>
          <w:highlight w:val="none"/>
        </w:rPr>
      </w:pPr>
      <w:r>
        <w:rPr>
          <w:rFonts w:hint="eastAsia" w:ascii="宋体" w:hAnsi="宋体" w:cs="宋体"/>
          <w:sz w:val="24"/>
          <w:szCs w:val="24"/>
          <w:highlight w:val="none"/>
        </w:rPr>
        <w:t>招标人单位：（公章）_____________乙方单位：（公章）____</w:t>
      </w:r>
      <w:r>
        <w:rPr>
          <w:rFonts w:hint="eastAsia" w:ascii="宋体" w:hAnsi="宋体" w:cs="宋体"/>
          <w:sz w:val="24"/>
          <w:szCs w:val="24"/>
          <w:highlight w:val="none"/>
          <w:u w:val="single"/>
        </w:rPr>
        <w:t>_ _</w:t>
      </w:r>
      <w:r>
        <w:rPr>
          <w:rFonts w:hint="eastAsia" w:ascii="宋体" w:hAnsi="宋体" w:cs="宋体"/>
          <w:sz w:val="24"/>
          <w:szCs w:val="24"/>
          <w:highlight w:val="none"/>
        </w:rPr>
        <w:t>______</w:t>
      </w:r>
    </w:p>
    <w:p>
      <w:pPr>
        <w:shd w:val="clear"/>
        <w:tabs>
          <w:tab w:val="left" w:pos="0"/>
        </w:tabs>
        <w:spacing w:line="440" w:lineRule="exact"/>
        <w:ind w:firstLine="540" w:firstLineChars="225"/>
        <w:rPr>
          <w:rFonts w:ascii="宋体" w:hAnsi="宋体" w:cs="宋体"/>
          <w:sz w:val="24"/>
          <w:szCs w:val="24"/>
          <w:highlight w:val="none"/>
        </w:rPr>
      </w:pPr>
      <w:r>
        <w:rPr>
          <w:rFonts w:hint="eastAsia" w:ascii="宋体" w:hAnsi="宋体" w:cs="宋体"/>
          <w:sz w:val="24"/>
          <w:szCs w:val="24"/>
          <w:highlight w:val="none"/>
        </w:rPr>
        <w:t>法定代表人：_________________ 法定代表人：_____</w:t>
      </w:r>
      <w:r>
        <w:rPr>
          <w:rFonts w:hint="eastAsia" w:ascii="宋体" w:hAnsi="宋体" w:cs="宋体"/>
          <w:sz w:val="24"/>
          <w:szCs w:val="24"/>
          <w:highlight w:val="none"/>
          <w:u w:val="single"/>
        </w:rPr>
        <w:t>_</w:t>
      </w:r>
      <w:r>
        <w:rPr>
          <w:rFonts w:hint="eastAsia" w:ascii="宋体" w:hAnsi="宋体" w:cs="宋体"/>
          <w:sz w:val="24"/>
          <w:szCs w:val="24"/>
          <w:highlight w:val="none"/>
        </w:rPr>
        <w:t>_</w:t>
      </w:r>
      <w:r>
        <w:rPr>
          <w:rFonts w:hint="eastAsia" w:ascii="宋体" w:hAnsi="宋体" w:cs="宋体"/>
          <w:sz w:val="24"/>
          <w:szCs w:val="24"/>
          <w:highlight w:val="none"/>
          <w:u w:val="single"/>
        </w:rPr>
        <w:t xml:space="preserve">  __</w:t>
      </w:r>
      <w:r>
        <w:rPr>
          <w:rFonts w:hint="eastAsia" w:ascii="宋体" w:hAnsi="宋体" w:cs="宋体"/>
          <w:sz w:val="24"/>
          <w:szCs w:val="24"/>
          <w:highlight w:val="none"/>
        </w:rPr>
        <w:t>_______</w:t>
      </w:r>
    </w:p>
    <w:p>
      <w:pPr>
        <w:shd w:val="clear"/>
        <w:tabs>
          <w:tab w:val="left" w:pos="0"/>
        </w:tabs>
        <w:spacing w:line="440" w:lineRule="exact"/>
        <w:ind w:firstLine="540" w:firstLineChars="225"/>
        <w:rPr>
          <w:rFonts w:ascii="宋体" w:hAnsi="宋体" w:cs="宋体"/>
          <w:sz w:val="24"/>
          <w:szCs w:val="24"/>
          <w:highlight w:val="none"/>
        </w:rPr>
      </w:pPr>
      <w:r>
        <w:rPr>
          <w:rFonts w:hint="eastAsia" w:ascii="宋体" w:hAnsi="宋体" w:cs="宋体"/>
          <w:sz w:val="24"/>
          <w:szCs w:val="24"/>
          <w:highlight w:val="none"/>
        </w:rPr>
        <w:t>委托代表人：_________________ 委托代表人：_____</w:t>
      </w:r>
      <w:r>
        <w:rPr>
          <w:rFonts w:hint="eastAsia" w:ascii="宋体" w:hAnsi="宋体" w:cs="宋体"/>
          <w:sz w:val="24"/>
          <w:szCs w:val="24"/>
          <w:highlight w:val="none"/>
          <w:u w:val="single"/>
        </w:rPr>
        <w:t>_  __</w:t>
      </w:r>
      <w:r>
        <w:rPr>
          <w:rFonts w:hint="eastAsia" w:ascii="宋体" w:hAnsi="宋体" w:cs="宋体"/>
          <w:sz w:val="24"/>
          <w:szCs w:val="24"/>
          <w:highlight w:val="none"/>
        </w:rPr>
        <w:t>________</w:t>
      </w:r>
    </w:p>
    <w:p>
      <w:pPr>
        <w:shd w:val="clear"/>
        <w:tabs>
          <w:tab w:val="left" w:pos="0"/>
        </w:tabs>
        <w:spacing w:line="440" w:lineRule="exact"/>
        <w:ind w:firstLine="540" w:firstLineChars="225"/>
        <w:rPr>
          <w:rFonts w:ascii="宋体" w:hAnsi="宋体" w:cs="宋体"/>
          <w:sz w:val="24"/>
          <w:szCs w:val="24"/>
          <w:highlight w:val="none"/>
        </w:rPr>
      </w:pPr>
      <w:r>
        <w:rPr>
          <w:rFonts w:hint="eastAsia" w:ascii="宋体" w:hAnsi="宋体" w:cs="宋体"/>
          <w:sz w:val="24"/>
          <w:szCs w:val="24"/>
          <w:highlight w:val="none"/>
        </w:rPr>
        <w:t>经办人：________________      经办人：_________</w:t>
      </w:r>
      <w:r>
        <w:rPr>
          <w:rFonts w:hint="eastAsia" w:ascii="宋体" w:hAnsi="宋体" w:cs="宋体"/>
          <w:sz w:val="24"/>
          <w:szCs w:val="24"/>
          <w:highlight w:val="none"/>
          <w:u w:val="single"/>
        </w:rPr>
        <w:t xml:space="preserve">     </w:t>
      </w:r>
      <w:r>
        <w:rPr>
          <w:rFonts w:hint="eastAsia" w:ascii="宋体" w:hAnsi="宋体" w:cs="宋体"/>
          <w:sz w:val="24"/>
          <w:szCs w:val="24"/>
          <w:highlight w:val="none"/>
        </w:rPr>
        <w:t>________</w:t>
      </w:r>
    </w:p>
    <w:p>
      <w:pPr>
        <w:shd w:val="clear"/>
        <w:tabs>
          <w:tab w:val="left" w:pos="0"/>
        </w:tabs>
        <w:spacing w:line="440" w:lineRule="exact"/>
        <w:ind w:firstLine="540" w:firstLineChars="225"/>
        <w:rPr>
          <w:rFonts w:ascii="宋体" w:hAnsi="宋体" w:cs="宋体"/>
          <w:sz w:val="24"/>
          <w:szCs w:val="24"/>
          <w:highlight w:val="none"/>
        </w:rPr>
      </w:pPr>
      <w:r>
        <w:rPr>
          <w:rFonts w:hint="eastAsia" w:ascii="宋体" w:hAnsi="宋体" w:cs="宋体"/>
          <w:sz w:val="24"/>
          <w:szCs w:val="24"/>
          <w:highlight w:val="none"/>
        </w:rPr>
        <w:t>电话：_______________________ 电话：________</w:t>
      </w:r>
      <w:r>
        <w:rPr>
          <w:rFonts w:hint="eastAsia" w:ascii="宋体" w:hAnsi="宋体" w:cs="宋体"/>
          <w:sz w:val="24"/>
          <w:szCs w:val="24"/>
          <w:highlight w:val="none"/>
          <w:u w:val="single"/>
        </w:rPr>
        <w:t>__    _</w:t>
      </w:r>
      <w:r>
        <w:rPr>
          <w:rFonts w:hint="eastAsia" w:ascii="宋体" w:hAnsi="宋体" w:cs="宋体"/>
          <w:sz w:val="24"/>
          <w:szCs w:val="24"/>
          <w:highlight w:val="none"/>
        </w:rPr>
        <w:t>_________</w:t>
      </w:r>
    </w:p>
    <w:p>
      <w:pPr>
        <w:shd w:val="clear"/>
        <w:tabs>
          <w:tab w:val="left" w:pos="0"/>
        </w:tabs>
        <w:spacing w:line="440" w:lineRule="exact"/>
        <w:ind w:firstLine="540" w:firstLineChars="225"/>
        <w:rPr>
          <w:rFonts w:ascii="宋体" w:hAnsi="宋体" w:cs="宋体"/>
          <w:sz w:val="24"/>
          <w:szCs w:val="24"/>
          <w:highlight w:val="none"/>
        </w:rPr>
      </w:pPr>
      <w:r>
        <w:rPr>
          <w:rFonts w:hint="eastAsia" w:ascii="宋体" w:hAnsi="宋体" w:cs="宋体"/>
          <w:sz w:val="24"/>
          <w:szCs w:val="24"/>
          <w:highlight w:val="none"/>
        </w:rPr>
        <w:t>传真：_______________________ 传真：___________</w:t>
      </w:r>
      <w:r>
        <w:rPr>
          <w:rFonts w:hint="eastAsia" w:ascii="宋体" w:hAnsi="宋体" w:cs="宋体"/>
          <w:sz w:val="24"/>
          <w:szCs w:val="24"/>
          <w:highlight w:val="none"/>
          <w:u w:val="single"/>
        </w:rPr>
        <w:t>___    _</w:t>
      </w:r>
      <w:r>
        <w:rPr>
          <w:rFonts w:hint="eastAsia" w:ascii="宋体" w:hAnsi="宋体" w:cs="宋体"/>
          <w:sz w:val="24"/>
          <w:szCs w:val="24"/>
          <w:highlight w:val="none"/>
        </w:rPr>
        <w:t>_____</w:t>
      </w:r>
    </w:p>
    <w:p>
      <w:pPr>
        <w:shd w:val="clear"/>
        <w:tabs>
          <w:tab w:val="left" w:pos="0"/>
        </w:tabs>
        <w:spacing w:line="440" w:lineRule="exact"/>
        <w:ind w:firstLine="540" w:firstLineChars="225"/>
        <w:rPr>
          <w:rFonts w:ascii="宋体" w:hAnsi="宋体" w:cs="宋体"/>
          <w:sz w:val="24"/>
          <w:szCs w:val="24"/>
          <w:highlight w:val="none"/>
        </w:rPr>
      </w:pPr>
      <w:r>
        <w:rPr>
          <w:rFonts w:hint="eastAsia" w:ascii="宋体" w:hAnsi="宋体" w:cs="宋体"/>
          <w:sz w:val="24"/>
          <w:szCs w:val="24"/>
          <w:highlight w:val="none"/>
        </w:rPr>
        <w:t>开户银行：___________________ 开户银行：__</w:t>
      </w:r>
      <w:r>
        <w:rPr>
          <w:rFonts w:hint="eastAsia" w:ascii="宋体" w:hAnsi="宋体" w:cs="宋体"/>
          <w:sz w:val="24"/>
          <w:szCs w:val="24"/>
          <w:highlight w:val="none"/>
          <w:u w:val="single"/>
        </w:rPr>
        <w:t>_    _</w:t>
      </w:r>
      <w:r>
        <w:rPr>
          <w:rFonts w:hint="eastAsia" w:ascii="宋体" w:hAnsi="宋体" w:cs="宋体"/>
          <w:sz w:val="24"/>
          <w:szCs w:val="24"/>
          <w:highlight w:val="none"/>
        </w:rPr>
        <w:t>____________</w:t>
      </w:r>
    </w:p>
    <w:p>
      <w:pPr>
        <w:shd w:val="clear"/>
        <w:tabs>
          <w:tab w:val="left" w:pos="0"/>
        </w:tabs>
        <w:spacing w:line="440" w:lineRule="exact"/>
        <w:ind w:firstLine="540" w:firstLineChars="225"/>
        <w:rPr>
          <w:rFonts w:ascii="宋体" w:hAnsi="宋体" w:cs="宋体"/>
          <w:sz w:val="24"/>
          <w:szCs w:val="24"/>
          <w:highlight w:val="none"/>
        </w:rPr>
      </w:pPr>
      <w:r>
        <w:rPr>
          <w:rFonts w:hint="eastAsia" w:ascii="宋体" w:hAnsi="宋体" w:cs="宋体"/>
          <w:sz w:val="24"/>
          <w:szCs w:val="24"/>
          <w:highlight w:val="none"/>
        </w:rPr>
        <w:t>账号：_______________________ 账号：___</w:t>
      </w:r>
      <w:r>
        <w:rPr>
          <w:rFonts w:hint="eastAsia" w:ascii="宋体" w:hAnsi="宋体" w:cs="宋体"/>
          <w:sz w:val="24"/>
          <w:szCs w:val="24"/>
          <w:highlight w:val="none"/>
          <w:u w:val="single"/>
        </w:rPr>
        <w:t>_ _    ____</w:t>
      </w:r>
      <w:r>
        <w:rPr>
          <w:rFonts w:hint="eastAsia" w:ascii="宋体" w:hAnsi="宋体" w:cs="宋体"/>
          <w:sz w:val="24"/>
          <w:szCs w:val="24"/>
          <w:highlight w:val="none"/>
        </w:rPr>
        <w:t>__________</w:t>
      </w:r>
    </w:p>
    <w:p>
      <w:pPr>
        <w:shd w:val="clear"/>
        <w:tabs>
          <w:tab w:val="left" w:pos="0"/>
        </w:tabs>
        <w:spacing w:line="440" w:lineRule="exact"/>
        <w:ind w:firstLine="540" w:firstLineChars="225"/>
        <w:rPr>
          <w:rFonts w:ascii="宋体" w:hAnsi="宋体" w:cs="宋体"/>
          <w:sz w:val="24"/>
          <w:szCs w:val="24"/>
          <w:highlight w:val="none"/>
        </w:rPr>
      </w:pPr>
      <w:r>
        <w:rPr>
          <w:rFonts w:hint="eastAsia" w:ascii="宋体" w:hAnsi="宋体" w:cs="宋体"/>
          <w:sz w:val="24"/>
          <w:szCs w:val="24"/>
          <w:highlight w:val="none"/>
        </w:rPr>
        <w:t>税号：</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税号：</w:t>
      </w:r>
      <w:r>
        <w:rPr>
          <w:rFonts w:hint="eastAsia" w:ascii="宋体" w:hAnsi="宋体" w:cs="宋体"/>
          <w:sz w:val="24"/>
          <w:szCs w:val="24"/>
          <w:highlight w:val="none"/>
          <w:u w:val="single"/>
        </w:rPr>
        <w:t xml:space="preserve">                        </w:t>
      </w:r>
    </w:p>
    <w:p>
      <w:pPr>
        <w:shd w:val="clear"/>
        <w:tabs>
          <w:tab w:val="left" w:pos="0"/>
        </w:tabs>
        <w:spacing w:line="440" w:lineRule="exact"/>
        <w:ind w:firstLine="540" w:firstLineChars="225"/>
        <w:rPr>
          <w:rFonts w:ascii="宋体" w:hAnsi="宋体" w:cs="宋体"/>
          <w:sz w:val="24"/>
          <w:szCs w:val="24"/>
          <w:highlight w:val="none"/>
        </w:rPr>
      </w:pPr>
      <w:r>
        <w:rPr>
          <w:rFonts w:hint="eastAsia" w:ascii="宋体" w:hAnsi="宋体" w:cs="宋体"/>
          <w:sz w:val="24"/>
          <w:szCs w:val="24"/>
          <w:highlight w:val="none"/>
        </w:rPr>
        <w:t>地址：______________________  地址：_________</w:t>
      </w:r>
      <w:r>
        <w:rPr>
          <w:rFonts w:hint="eastAsia" w:ascii="宋体" w:hAnsi="宋体" w:cs="宋体"/>
          <w:sz w:val="24"/>
          <w:szCs w:val="24"/>
          <w:highlight w:val="none"/>
          <w:u w:val="single"/>
        </w:rPr>
        <w:t>_  __</w:t>
      </w:r>
      <w:r>
        <w:rPr>
          <w:rFonts w:hint="eastAsia" w:ascii="宋体" w:hAnsi="宋体" w:cs="宋体"/>
          <w:sz w:val="24"/>
          <w:szCs w:val="24"/>
          <w:highlight w:val="none"/>
        </w:rPr>
        <w:t>__________</w:t>
      </w:r>
    </w:p>
    <w:p>
      <w:pPr>
        <w:shd w:val="clear"/>
        <w:spacing w:line="440" w:lineRule="exact"/>
        <w:ind w:firstLine="480" w:firstLineChars="200"/>
        <w:rPr>
          <w:rFonts w:ascii="宋体" w:hAnsi="宋体" w:cs="宋体"/>
          <w:sz w:val="24"/>
          <w:szCs w:val="24"/>
          <w:highlight w:val="none"/>
          <w:u w:val="single"/>
        </w:rPr>
      </w:pPr>
      <w:r>
        <w:rPr>
          <w:rFonts w:hint="eastAsia" w:ascii="宋体" w:hAnsi="宋体" w:cs="宋体"/>
          <w:sz w:val="24"/>
          <w:szCs w:val="24"/>
          <w:highlight w:val="none"/>
        </w:rPr>
        <w:t>邮政编码：___________________ 邮政编码：__</w:t>
      </w:r>
      <w:r>
        <w:rPr>
          <w:rFonts w:hint="eastAsia" w:ascii="宋体" w:hAnsi="宋体" w:cs="宋体"/>
          <w:sz w:val="24"/>
          <w:szCs w:val="24"/>
          <w:highlight w:val="none"/>
          <w:u w:val="single"/>
        </w:rPr>
        <w:t>___  _ _____   ____</w:t>
      </w:r>
    </w:p>
    <w:p>
      <w:pPr>
        <w:pageBreakBefore/>
        <w:shd w:val="clear"/>
        <w:jc w:val="center"/>
        <w:rPr>
          <w:rFonts w:ascii="宋体" w:hAnsi="宋体" w:cs="宋体"/>
          <w:b/>
          <w:sz w:val="36"/>
          <w:szCs w:val="36"/>
          <w:highlight w:val="none"/>
        </w:rPr>
      </w:pPr>
    </w:p>
    <w:p>
      <w:pPr>
        <w:shd w:val="clear"/>
        <w:adjustRightInd w:val="0"/>
        <w:snapToGrid w:val="0"/>
        <w:spacing w:line="440" w:lineRule="exact"/>
        <w:jc w:val="center"/>
        <w:outlineLvl w:val="0"/>
        <w:rPr>
          <w:rFonts w:ascii="宋体" w:hAnsi="宋体" w:cs="宋体"/>
          <w:b/>
          <w:kern w:val="44"/>
          <w:sz w:val="44"/>
          <w:highlight w:val="none"/>
        </w:rPr>
      </w:pPr>
      <w:r>
        <w:rPr>
          <w:rFonts w:hint="eastAsia" w:ascii="宋体" w:hAnsi="宋体" w:cs="宋体"/>
          <w:b/>
          <w:kern w:val="44"/>
          <w:sz w:val="36"/>
          <w:szCs w:val="36"/>
          <w:highlight w:val="none"/>
        </w:rPr>
        <w:t>第四章 投标文件格式</w:t>
      </w:r>
    </w:p>
    <w:p>
      <w:pPr>
        <w:shd w:val="clear"/>
        <w:spacing w:line="440" w:lineRule="exact"/>
        <w:jc w:val="center"/>
        <w:rPr>
          <w:rFonts w:ascii="宋体" w:hAnsi="宋体" w:cs="宋体"/>
          <w:bCs/>
          <w:w w:val="80"/>
          <w:sz w:val="28"/>
          <w:szCs w:val="28"/>
          <w:highlight w:val="none"/>
        </w:rPr>
      </w:pPr>
    </w:p>
    <w:p>
      <w:pPr>
        <w:shd w:val="clear"/>
        <w:jc w:val="center"/>
        <w:rPr>
          <w:rFonts w:ascii="宋体" w:hAnsi="宋体" w:cs="宋体"/>
          <w:bCs/>
          <w:w w:val="80"/>
          <w:sz w:val="28"/>
          <w:szCs w:val="28"/>
          <w:highlight w:val="none"/>
        </w:rPr>
      </w:pPr>
    </w:p>
    <w:p>
      <w:pPr>
        <w:shd w:val="clear"/>
        <w:jc w:val="center"/>
        <w:rPr>
          <w:rFonts w:ascii="宋体" w:hAnsi="宋体" w:cs="宋体"/>
          <w:bCs/>
          <w:w w:val="80"/>
          <w:sz w:val="28"/>
          <w:szCs w:val="28"/>
          <w:highlight w:val="none"/>
        </w:rPr>
      </w:pPr>
    </w:p>
    <w:p>
      <w:pPr>
        <w:shd w:val="clear"/>
        <w:jc w:val="center"/>
        <w:rPr>
          <w:rFonts w:ascii="宋体" w:hAnsi="宋体" w:cs="宋体"/>
          <w:bCs/>
          <w:w w:val="80"/>
          <w:sz w:val="28"/>
          <w:szCs w:val="28"/>
          <w:highlight w:val="none"/>
        </w:rPr>
      </w:pPr>
    </w:p>
    <w:p>
      <w:pPr>
        <w:shd w:val="clear"/>
        <w:jc w:val="center"/>
        <w:rPr>
          <w:rFonts w:ascii="宋体" w:hAnsi="宋体" w:cs="宋体"/>
          <w:sz w:val="100"/>
          <w:highlight w:val="none"/>
        </w:rPr>
      </w:pPr>
      <w:r>
        <w:rPr>
          <w:rFonts w:hint="eastAsia" w:ascii="宋体" w:hAnsi="宋体" w:cs="宋体"/>
          <w:sz w:val="100"/>
          <w:highlight w:val="none"/>
        </w:rPr>
        <w:t>投 标 文 件</w:t>
      </w:r>
    </w:p>
    <w:p>
      <w:pPr>
        <w:shd w:val="clear"/>
        <w:jc w:val="center"/>
        <w:rPr>
          <w:rFonts w:ascii="宋体" w:hAnsi="宋体" w:cs="宋体"/>
          <w:sz w:val="24"/>
          <w:highlight w:val="none"/>
        </w:rPr>
      </w:pPr>
    </w:p>
    <w:p>
      <w:pPr>
        <w:shd w:val="clear"/>
        <w:jc w:val="center"/>
        <w:rPr>
          <w:rFonts w:ascii="宋体" w:hAnsi="宋体" w:cs="宋体"/>
          <w:sz w:val="24"/>
          <w:highlight w:val="none"/>
        </w:rPr>
      </w:pPr>
    </w:p>
    <w:p>
      <w:pPr>
        <w:shd w:val="clear"/>
        <w:jc w:val="center"/>
        <w:rPr>
          <w:rFonts w:ascii="宋体" w:hAnsi="宋体" w:cs="宋体"/>
          <w:sz w:val="24"/>
          <w:highlight w:val="none"/>
        </w:rPr>
      </w:pPr>
    </w:p>
    <w:p>
      <w:pPr>
        <w:shd w:val="clear"/>
        <w:spacing w:line="440" w:lineRule="exact"/>
        <w:jc w:val="center"/>
        <w:rPr>
          <w:rFonts w:ascii="宋体" w:hAnsi="宋体" w:cs="宋体"/>
          <w:sz w:val="24"/>
          <w:highlight w:val="none"/>
        </w:rPr>
      </w:pPr>
    </w:p>
    <w:p>
      <w:pPr>
        <w:shd w:val="clear"/>
        <w:spacing w:line="440" w:lineRule="exact"/>
        <w:jc w:val="center"/>
        <w:rPr>
          <w:rFonts w:ascii="宋体" w:hAnsi="宋体" w:cs="宋体"/>
          <w:sz w:val="44"/>
          <w:szCs w:val="44"/>
          <w:highlight w:val="none"/>
        </w:rPr>
      </w:pPr>
    </w:p>
    <w:p>
      <w:pPr>
        <w:shd w:val="clear"/>
        <w:spacing w:line="440" w:lineRule="exact"/>
        <w:jc w:val="center"/>
        <w:rPr>
          <w:rFonts w:ascii="宋体" w:hAnsi="宋体" w:cs="宋体"/>
          <w:sz w:val="24"/>
          <w:highlight w:val="none"/>
        </w:rPr>
      </w:pPr>
    </w:p>
    <w:p>
      <w:pPr>
        <w:shd w:val="clear"/>
        <w:spacing w:line="440" w:lineRule="exact"/>
        <w:jc w:val="center"/>
        <w:rPr>
          <w:rFonts w:ascii="宋体" w:hAnsi="宋体" w:cs="宋体"/>
          <w:sz w:val="24"/>
          <w:highlight w:val="none"/>
        </w:rPr>
      </w:pPr>
    </w:p>
    <w:p>
      <w:pPr>
        <w:shd w:val="clear"/>
        <w:spacing w:line="440" w:lineRule="exact"/>
        <w:jc w:val="center"/>
        <w:rPr>
          <w:rFonts w:ascii="宋体" w:hAnsi="宋体" w:cs="宋体"/>
          <w:sz w:val="24"/>
          <w:highlight w:val="none"/>
        </w:rPr>
      </w:pPr>
    </w:p>
    <w:p>
      <w:pPr>
        <w:shd w:val="clear"/>
        <w:spacing w:line="440" w:lineRule="exact"/>
        <w:jc w:val="center"/>
        <w:rPr>
          <w:rFonts w:ascii="宋体" w:hAnsi="宋体" w:cs="宋体"/>
          <w:sz w:val="24"/>
          <w:highlight w:val="none"/>
        </w:rPr>
      </w:pPr>
    </w:p>
    <w:p>
      <w:pPr>
        <w:shd w:val="clear"/>
        <w:spacing w:line="440" w:lineRule="exact"/>
        <w:jc w:val="center"/>
        <w:rPr>
          <w:rFonts w:ascii="宋体" w:hAnsi="宋体" w:cs="宋体"/>
          <w:sz w:val="24"/>
          <w:highlight w:val="none"/>
        </w:rPr>
      </w:pPr>
    </w:p>
    <w:p>
      <w:pPr>
        <w:shd w:val="clear"/>
        <w:spacing w:line="440" w:lineRule="exact"/>
        <w:jc w:val="center"/>
        <w:rPr>
          <w:rFonts w:ascii="宋体" w:hAnsi="宋体" w:cs="宋体"/>
          <w:sz w:val="24"/>
          <w:highlight w:val="none"/>
        </w:rPr>
      </w:pPr>
    </w:p>
    <w:p>
      <w:pPr>
        <w:shd w:val="clear"/>
        <w:spacing w:line="440" w:lineRule="exact"/>
        <w:jc w:val="center"/>
        <w:rPr>
          <w:rFonts w:ascii="宋体" w:hAnsi="宋体" w:cs="宋体"/>
          <w:sz w:val="24"/>
          <w:highlight w:val="none"/>
        </w:rPr>
      </w:pPr>
    </w:p>
    <w:p>
      <w:pPr>
        <w:shd w:val="clear"/>
        <w:spacing w:line="440" w:lineRule="exact"/>
        <w:ind w:firstLine="2380" w:firstLineChars="850"/>
        <w:rPr>
          <w:rFonts w:ascii="宋体" w:hAnsi="宋体" w:cs="宋体"/>
          <w:sz w:val="28"/>
          <w:highlight w:val="none"/>
          <w:u w:val="single"/>
        </w:rPr>
      </w:pPr>
      <w:r>
        <w:rPr>
          <w:rFonts w:hint="eastAsia" w:ascii="宋体" w:hAnsi="宋体" w:cs="宋体"/>
          <w:sz w:val="28"/>
          <w:highlight w:val="none"/>
        </w:rPr>
        <w:t>项目名称：</w:t>
      </w:r>
      <w:r>
        <w:rPr>
          <w:rFonts w:hint="eastAsia" w:ascii="宋体" w:hAnsi="宋体" w:cs="宋体"/>
          <w:sz w:val="28"/>
          <w:highlight w:val="none"/>
          <w:u w:val="single"/>
        </w:rPr>
        <w:t xml:space="preserve">                         </w:t>
      </w:r>
    </w:p>
    <w:p>
      <w:pPr>
        <w:shd w:val="clear"/>
        <w:spacing w:line="440" w:lineRule="exact"/>
        <w:jc w:val="center"/>
        <w:rPr>
          <w:rFonts w:ascii="宋体" w:hAnsi="宋体" w:cs="宋体"/>
          <w:sz w:val="28"/>
          <w:highlight w:val="none"/>
          <w:u w:val="single"/>
        </w:rPr>
      </w:pPr>
    </w:p>
    <w:p>
      <w:pPr>
        <w:shd w:val="clear"/>
        <w:spacing w:line="440" w:lineRule="exact"/>
        <w:ind w:firstLine="2380" w:firstLineChars="850"/>
        <w:rPr>
          <w:rFonts w:ascii="宋体" w:hAnsi="宋体" w:cs="宋体"/>
          <w:sz w:val="28"/>
          <w:highlight w:val="none"/>
          <w:u w:val="single"/>
        </w:rPr>
      </w:pPr>
      <w:r>
        <w:rPr>
          <w:rFonts w:hint="eastAsia" w:ascii="宋体" w:hAnsi="宋体" w:cs="宋体"/>
          <w:sz w:val="28"/>
          <w:highlight w:val="none"/>
        </w:rPr>
        <w:t>招标编号：</w:t>
      </w:r>
      <w:r>
        <w:rPr>
          <w:rFonts w:hint="eastAsia" w:ascii="宋体" w:hAnsi="宋体" w:cs="宋体"/>
          <w:sz w:val="28"/>
          <w:highlight w:val="none"/>
          <w:u w:val="single"/>
        </w:rPr>
        <w:t xml:space="preserve">                         </w:t>
      </w:r>
    </w:p>
    <w:p>
      <w:pPr>
        <w:shd w:val="clear"/>
        <w:spacing w:line="440" w:lineRule="exact"/>
        <w:jc w:val="center"/>
        <w:rPr>
          <w:rFonts w:ascii="宋体" w:hAnsi="宋体" w:cs="宋体"/>
          <w:sz w:val="28"/>
          <w:highlight w:val="none"/>
        </w:rPr>
      </w:pPr>
    </w:p>
    <w:p>
      <w:pPr>
        <w:shd w:val="clear"/>
        <w:spacing w:line="440" w:lineRule="exact"/>
        <w:jc w:val="center"/>
        <w:rPr>
          <w:rFonts w:ascii="宋体" w:hAnsi="宋体" w:cs="宋体"/>
          <w:sz w:val="28"/>
          <w:highlight w:val="none"/>
        </w:rPr>
      </w:pPr>
      <w:r>
        <w:rPr>
          <w:rFonts w:hint="eastAsia" w:ascii="宋体" w:hAnsi="宋体" w:cs="宋体"/>
          <w:sz w:val="28"/>
          <w:highlight w:val="none"/>
        </w:rPr>
        <w:t xml:space="preserve"> 投标单位名称：</w:t>
      </w:r>
      <w:r>
        <w:rPr>
          <w:rFonts w:hint="eastAsia" w:ascii="宋体" w:hAnsi="宋体" w:cs="宋体"/>
          <w:sz w:val="28"/>
          <w:highlight w:val="none"/>
          <w:u w:val="single"/>
        </w:rPr>
        <w:t xml:space="preserve">              （公章）</w:t>
      </w:r>
    </w:p>
    <w:p>
      <w:pPr>
        <w:shd w:val="clear"/>
        <w:spacing w:line="440" w:lineRule="exact"/>
        <w:jc w:val="center"/>
        <w:rPr>
          <w:rFonts w:ascii="宋体" w:hAnsi="宋体" w:cs="宋体"/>
          <w:sz w:val="28"/>
          <w:highlight w:val="none"/>
        </w:rPr>
      </w:pPr>
    </w:p>
    <w:p>
      <w:pPr>
        <w:shd w:val="clear"/>
        <w:spacing w:line="440" w:lineRule="exact"/>
        <w:jc w:val="center"/>
        <w:rPr>
          <w:rFonts w:ascii="宋体" w:hAnsi="宋体" w:cs="宋体"/>
          <w:sz w:val="28"/>
          <w:highlight w:val="none"/>
          <w:u w:val="single"/>
        </w:rPr>
      </w:pPr>
      <w:r>
        <w:rPr>
          <w:rFonts w:hint="eastAsia" w:ascii="宋体" w:hAnsi="宋体" w:cs="宋体"/>
          <w:sz w:val="28"/>
          <w:highlight w:val="none"/>
        </w:rPr>
        <w:t xml:space="preserve"> 法定代表人：</w:t>
      </w:r>
      <w:r>
        <w:rPr>
          <w:rFonts w:hint="eastAsia" w:ascii="宋体" w:hAnsi="宋体" w:cs="宋体"/>
          <w:sz w:val="28"/>
          <w:highlight w:val="none"/>
          <w:u w:val="single"/>
        </w:rPr>
        <w:t xml:space="preserve">                （印章）</w:t>
      </w:r>
    </w:p>
    <w:p>
      <w:pPr>
        <w:shd w:val="clear"/>
        <w:spacing w:line="440" w:lineRule="exact"/>
        <w:jc w:val="center"/>
        <w:rPr>
          <w:rFonts w:ascii="宋体" w:hAnsi="宋体" w:cs="宋体"/>
          <w:sz w:val="28"/>
          <w:highlight w:val="none"/>
          <w:u w:val="single"/>
        </w:rPr>
      </w:pPr>
    </w:p>
    <w:p>
      <w:pPr>
        <w:shd w:val="clear"/>
        <w:spacing w:line="440" w:lineRule="exact"/>
        <w:jc w:val="center"/>
        <w:rPr>
          <w:rFonts w:ascii="宋体" w:hAnsi="宋体" w:cs="宋体"/>
          <w:sz w:val="28"/>
          <w:highlight w:val="none"/>
          <w:u w:val="single"/>
        </w:rPr>
      </w:pPr>
    </w:p>
    <w:p>
      <w:pPr>
        <w:shd w:val="clear"/>
        <w:spacing w:line="440" w:lineRule="exact"/>
        <w:jc w:val="center"/>
        <w:rPr>
          <w:rFonts w:ascii="宋体" w:hAnsi="宋体" w:cs="宋体"/>
          <w:sz w:val="28"/>
          <w:highlight w:val="none"/>
          <w:u w:val="single"/>
        </w:rPr>
      </w:pPr>
    </w:p>
    <w:p>
      <w:pPr>
        <w:shd w:val="clear"/>
        <w:spacing w:line="440" w:lineRule="exact"/>
        <w:jc w:val="center"/>
        <w:rPr>
          <w:rFonts w:ascii="宋体" w:hAnsi="宋体" w:cs="宋体"/>
          <w:sz w:val="28"/>
          <w:highlight w:val="none"/>
        </w:rPr>
      </w:pPr>
    </w:p>
    <w:p>
      <w:pPr>
        <w:shd w:val="clear"/>
        <w:adjustRightInd w:val="0"/>
        <w:snapToGrid w:val="0"/>
        <w:spacing w:line="440" w:lineRule="exact"/>
        <w:jc w:val="center"/>
        <w:rPr>
          <w:rFonts w:ascii="宋体" w:hAnsi="宋体" w:cs="宋体"/>
          <w:sz w:val="28"/>
          <w:highlight w:val="none"/>
        </w:rPr>
      </w:pPr>
      <w:r>
        <w:rPr>
          <w:rFonts w:hint="eastAsia" w:ascii="宋体" w:hAnsi="宋体" w:cs="宋体"/>
          <w:sz w:val="28"/>
          <w:highlight w:val="none"/>
        </w:rPr>
        <w:t>年   月   日</w:t>
      </w:r>
    </w:p>
    <w:p>
      <w:pPr>
        <w:pStyle w:val="4"/>
        <w:shd w:val="clear"/>
        <w:spacing w:before="0" w:after="0" w:line="440" w:lineRule="exact"/>
        <w:jc w:val="center"/>
        <w:rPr>
          <w:rFonts w:cs="宋体"/>
          <w:color w:val="auto"/>
          <w:sz w:val="28"/>
          <w:szCs w:val="28"/>
          <w:highlight w:val="none"/>
        </w:rPr>
      </w:pPr>
      <w:r>
        <w:rPr>
          <w:rFonts w:hint="eastAsia" w:cs="宋体"/>
          <w:color w:val="auto"/>
          <w:sz w:val="28"/>
          <w:szCs w:val="28"/>
          <w:highlight w:val="none"/>
        </w:rPr>
        <w:t>1.投标书</w:t>
      </w:r>
    </w:p>
    <w:p>
      <w:pPr>
        <w:shd w:val="clear"/>
        <w:spacing w:line="440" w:lineRule="exact"/>
        <w:rPr>
          <w:rFonts w:ascii="宋体" w:hAnsi="宋体" w:cs="宋体"/>
          <w:sz w:val="24"/>
          <w:highlight w:val="none"/>
        </w:rPr>
      </w:pPr>
      <w:r>
        <w:rPr>
          <w:rFonts w:hint="eastAsia" w:ascii="宋体" w:hAnsi="宋体" w:cs="宋体"/>
          <w:sz w:val="24"/>
          <w:highlight w:val="none"/>
        </w:rPr>
        <w:t>致：(招标代理机构)</w:t>
      </w:r>
    </w:p>
    <w:p>
      <w:pPr>
        <w:shd w:val="clear"/>
        <w:spacing w:line="440" w:lineRule="exact"/>
        <w:rPr>
          <w:rFonts w:ascii="宋体" w:hAnsi="宋体" w:cs="宋体"/>
          <w:sz w:val="24"/>
          <w:highlight w:val="none"/>
        </w:rPr>
      </w:pPr>
    </w:p>
    <w:p>
      <w:pPr>
        <w:shd w:val="clear"/>
        <w:spacing w:line="440" w:lineRule="exact"/>
        <w:ind w:firstLine="480"/>
        <w:rPr>
          <w:rFonts w:ascii="宋体" w:hAnsi="宋体" w:cs="宋体"/>
          <w:sz w:val="24"/>
          <w:highlight w:val="none"/>
        </w:rPr>
      </w:pPr>
      <w:r>
        <w:rPr>
          <w:rFonts w:hint="eastAsia" w:ascii="宋体" w:hAnsi="宋体" w:cs="宋体"/>
          <w:sz w:val="24"/>
          <w:highlight w:val="none"/>
        </w:rPr>
        <w:t>根据贵方为(</w:t>
      </w:r>
      <w:r>
        <w:rPr>
          <w:rFonts w:hint="eastAsia" w:ascii="宋体" w:hAnsi="宋体" w:cs="宋体"/>
          <w:sz w:val="24"/>
          <w:highlight w:val="none"/>
          <w:u w:val="single"/>
        </w:rPr>
        <w:t>项目名称</w:t>
      </w:r>
      <w:r>
        <w:rPr>
          <w:rFonts w:hint="eastAsia" w:ascii="宋体" w:hAnsi="宋体" w:cs="宋体"/>
          <w:sz w:val="24"/>
          <w:highlight w:val="none"/>
        </w:rPr>
        <w:t>)招标的投标邀请(</w:t>
      </w:r>
      <w:r>
        <w:rPr>
          <w:rFonts w:hint="eastAsia" w:ascii="宋体" w:hAnsi="宋体" w:cs="宋体"/>
          <w:sz w:val="24"/>
          <w:highlight w:val="none"/>
          <w:u w:val="single"/>
        </w:rPr>
        <w:t>招标编号</w:t>
      </w:r>
      <w:r>
        <w:rPr>
          <w:rFonts w:hint="eastAsia" w:ascii="宋体" w:hAnsi="宋体" w:cs="宋体"/>
          <w:sz w:val="24"/>
          <w:highlight w:val="none"/>
        </w:rPr>
        <w:t>)，签字代表(</w:t>
      </w:r>
      <w:r>
        <w:rPr>
          <w:rFonts w:hint="eastAsia" w:ascii="宋体" w:hAnsi="宋体" w:cs="宋体"/>
          <w:sz w:val="24"/>
          <w:highlight w:val="none"/>
          <w:u w:val="single"/>
        </w:rPr>
        <w:t>姓名、职务</w:t>
      </w:r>
      <w:r>
        <w:rPr>
          <w:rFonts w:hint="eastAsia" w:ascii="宋体" w:hAnsi="宋体" w:cs="宋体"/>
          <w:sz w:val="24"/>
          <w:highlight w:val="none"/>
        </w:rPr>
        <w:t>)经正式授权并代表投标人</w:t>
      </w:r>
      <w:r>
        <w:rPr>
          <w:rFonts w:hint="eastAsia" w:ascii="宋体" w:hAnsi="宋体" w:cs="宋体"/>
          <w:sz w:val="24"/>
          <w:highlight w:val="none"/>
          <w:u w:val="single"/>
        </w:rPr>
        <w:t>(投标人名称、地址)</w:t>
      </w:r>
      <w:r>
        <w:rPr>
          <w:rFonts w:hint="eastAsia" w:ascii="宋体" w:hAnsi="宋体" w:cs="宋体"/>
          <w:sz w:val="24"/>
          <w:highlight w:val="none"/>
        </w:rPr>
        <w:t>提交下述文件正本一份及副本</w:t>
      </w:r>
      <w:r>
        <w:rPr>
          <w:rFonts w:hint="eastAsia" w:ascii="宋体" w:hAnsi="宋体" w:cs="宋体"/>
          <w:sz w:val="24"/>
          <w:highlight w:val="none"/>
          <w:u w:val="single"/>
        </w:rPr>
        <w:t xml:space="preserve">     </w:t>
      </w:r>
      <w:r>
        <w:rPr>
          <w:rFonts w:hint="eastAsia" w:ascii="宋体" w:hAnsi="宋体" w:cs="宋体"/>
          <w:sz w:val="24"/>
          <w:highlight w:val="none"/>
        </w:rPr>
        <w:t>份:</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(1) 投标书</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(2) 投标一览表（用于唱标）</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(3) 投标分项报价表</w:t>
      </w:r>
    </w:p>
    <w:p>
      <w:pPr>
        <w:shd w:val="clear"/>
        <w:spacing w:line="440" w:lineRule="exact"/>
        <w:ind w:firstLine="360" w:firstLineChars="150"/>
        <w:rPr>
          <w:rFonts w:ascii="宋体" w:hAnsi="宋体" w:cs="宋体"/>
          <w:bCs/>
          <w:sz w:val="24"/>
          <w:highlight w:val="none"/>
        </w:rPr>
      </w:pPr>
      <w:r>
        <w:rPr>
          <w:rFonts w:hint="eastAsia" w:ascii="宋体" w:hAnsi="宋体" w:cs="宋体"/>
          <w:bCs/>
          <w:sz w:val="24"/>
          <w:highlight w:val="none"/>
        </w:rPr>
        <w:t>（4）施工工期响应表</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(5) 投标人应提交的其他材料</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(6) 技术规格偏离表</w:t>
      </w:r>
    </w:p>
    <w:p>
      <w:pPr>
        <w:shd w:val="clear"/>
        <w:spacing w:line="440" w:lineRule="exact"/>
        <w:ind w:left="567" w:hanging="85"/>
        <w:rPr>
          <w:rFonts w:ascii="宋体" w:hAnsi="宋体" w:cs="宋体"/>
          <w:sz w:val="24"/>
          <w:highlight w:val="none"/>
        </w:rPr>
      </w:pPr>
      <w:r>
        <w:rPr>
          <w:rFonts w:hint="eastAsia" w:ascii="宋体" w:hAnsi="宋体" w:cs="宋体"/>
          <w:sz w:val="24"/>
          <w:highlight w:val="none"/>
        </w:rPr>
        <w:t>(7)</w:t>
      </w:r>
      <w:r>
        <w:rPr>
          <w:rFonts w:hint="eastAsia" w:ascii="宋体" w:hAnsi="宋体" w:cs="宋体"/>
          <w:highlight w:val="none"/>
        </w:rPr>
        <w:t xml:space="preserve"> </w:t>
      </w:r>
      <w:r>
        <w:rPr>
          <w:rFonts w:hint="eastAsia" w:ascii="宋体" w:hAnsi="宋体" w:cs="宋体"/>
          <w:sz w:val="24"/>
          <w:highlight w:val="none"/>
        </w:rPr>
        <w:t>商务条款偏离表</w:t>
      </w:r>
    </w:p>
    <w:p>
      <w:pPr>
        <w:shd w:val="clear"/>
        <w:spacing w:line="440" w:lineRule="exact"/>
        <w:ind w:left="567" w:hanging="85"/>
        <w:rPr>
          <w:rFonts w:ascii="宋体" w:hAnsi="宋体" w:cs="宋体"/>
          <w:sz w:val="24"/>
          <w:highlight w:val="none"/>
        </w:rPr>
      </w:pPr>
      <w:r>
        <w:rPr>
          <w:rFonts w:hint="eastAsia" w:ascii="宋体" w:hAnsi="宋体" w:cs="宋体"/>
          <w:sz w:val="24"/>
          <w:highlight w:val="none"/>
        </w:rPr>
        <w:t>(8) 工程竣工后服务承诺</w:t>
      </w:r>
    </w:p>
    <w:p>
      <w:pPr>
        <w:shd w:val="clear"/>
        <w:spacing w:line="440" w:lineRule="exact"/>
        <w:ind w:left="567" w:hanging="85"/>
        <w:rPr>
          <w:rFonts w:ascii="宋体" w:hAnsi="宋体" w:cs="宋体"/>
          <w:sz w:val="24"/>
          <w:highlight w:val="none"/>
        </w:rPr>
      </w:pPr>
      <w:r>
        <w:rPr>
          <w:rFonts w:hint="eastAsia" w:ascii="宋体" w:hAnsi="宋体" w:cs="宋体"/>
          <w:sz w:val="24"/>
          <w:highlight w:val="none"/>
        </w:rPr>
        <w:t>(9) 资格证明文件</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(10) 施工组织及施工进度设计</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(11) 工程预算书</w:t>
      </w:r>
    </w:p>
    <w:p>
      <w:pPr>
        <w:shd w:val="clear"/>
        <w:spacing w:line="440" w:lineRule="exact"/>
        <w:ind w:left="567" w:hanging="87"/>
        <w:rPr>
          <w:rFonts w:ascii="宋体" w:hAnsi="宋体" w:cs="宋体"/>
          <w:sz w:val="24"/>
          <w:highlight w:val="none"/>
        </w:rPr>
      </w:pPr>
      <w:r>
        <w:rPr>
          <w:rFonts w:hint="eastAsia" w:ascii="宋体" w:hAnsi="宋体" w:cs="宋体"/>
          <w:sz w:val="24"/>
          <w:highlight w:val="none"/>
        </w:rPr>
        <w:t>(12) 联合体协议书</w:t>
      </w:r>
    </w:p>
    <w:p>
      <w:pPr>
        <w:pStyle w:val="45"/>
        <w:shd w:val="clear"/>
        <w:ind w:firstLine="400"/>
        <w:rPr>
          <w:highlight w:val="none"/>
        </w:rPr>
      </w:pPr>
    </w:p>
    <w:p>
      <w:pPr>
        <w:shd w:val="clear"/>
        <w:spacing w:line="440" w:lineRule="exact"/>
        <w:ind w:left="672" w:leftChars="336" w:firstLine="360" w:firstLineChars="150"/>
        <w:rPr>
          <w:rFonts w:ascii="宋体" w:hAnsi="宋体" w:cs="宋体"/>
          <w:sz w:val="24"/>
          <w:highlight w:val="none"/>
        </w:rPr>
      </w:pPr>
      <w:r>
        <w:rPr>
          <w:rFonts w:hint="eastAsia" w:ascii="宋体" w:hAnsi="宋体" w:cs="宋体"/>
          <w:sz w:val="24"/>
          <w:highlight w:val="none"/>
        </w:rPr>
        <w:t>提交的投标保证金，金额为</w:t>
      </w:r>
      <w:r>
        <w:rPr>
          <w:rFonts w:hint="eastAsia" w:ascii="宋体" w:hAnsi="宋体" w:cs="宋体"/>
          <w:sz w:val="24"/>
          <w:highlight w:val="none"/>
          <w:u w:val="single"/>
        </w:rPr>
        <w:t xml:space="preserve">人民币：  </w:t>
      </w:r>
      <w:r>
        <w:rPr>
          <w:rFonts w:ascii="宋体" w:hAnsi="宋体" w:cs="宋体"/>
          <w:sz w:val="24"/>
          <w:highlight w:val="none"/>
          <w:u w:val="single"/>
        </w:rPr>
        <w:t xml:space="preserve">          </w:t>
      </w:r>
      <w:r>
        <w:rPr>
          <w:rFonts w:hint="eastAsia" w:ascii="宋体" w:hAnsi="宋体" w:cs="宋体"/>
          <w:sz w:val="24"/>
          <w:highlight w:val="none"/>
          <w:u w:val="single"/>
        </w:rPr>
        <w:t xml:space="preserve">（大写： </w:t>
      </w:r>
      <w:r>
        <w:rPr>
          <w:rFonts w:ascii="宋体" w:hAnsi="宋体" w:cs="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cs="宋体"/>
          <w:sz w:val="24"/>
          <w:highlight w:val="none"/>
        </w:rPr>
        <w:t>。</w:t>
      </w:r>
    </w:p>
    <w:p>
      <w:pPr>
        <w:shd w:val="clear"/>
        <w:spacing w:line="440" w:lineRule="exact"/>
        <w:ind w:left="709" w:hanging="284"/>
        <w:rPr>
          <w:rFonts w:ascii="宋体" w:hAnsi="宋体" w:cs="宋体"/>
          <w:sz w:val="24"/>
          <w:highlight w:val="none"/>
        </w:rPr>
      </w:pPr>
      <w:r>
        <w:rPr>
          <w:rFonts w:hint="eastAsia" w:ascii="宋体" w:hAnsi="宋体" w:cs="宋体"/>
          <w:sz w:val="24"/>
          <w:highlight w:val="none"/>
        </w:rPr>
        <w:t>据此函,签字代表宣布同意如下：</w:t>
      </w:r>
    </w:p>
    <w:p>
      <w:pPr>
        <w:shd w:val="clear"/>
        <w:spacing w:line="440" w:lineRule="exact"/>
        <w:ind w:left="709" w:hanging="284"/>
        <w:rPr>
          <w:rFonts w:ascii="宋体" w:hAnsi="宋体" w:cs="宋体"/>
          <w:sz w:val="24"/>
          <w:highlight w:val="none"/>
        </w:rPr>
      </w:pPr>
      <w:r>
        <w:rPr>
          <w:rFonts w:hint="eastAsia" w:ascii="宋体" w:hAnsi="宋体" w:cs="宋体"/>
          <w:sz w:val="24"/>
          <w:highlight w:val="none"/>
        </w:rPr>
        <w:t>1. 所附投标价格表中规定的投标总价为</w:t>
      </w:r>
      <w:r>
        <w:rPr>
          <w:rFonts w:hint="eastAsia" w:ascii="宋体" w:hAnsi="宋体" w:cs="宋体"/>
          <w:sz w:val="24"/>
          <w:highlight w:val="none"/>
          <w:u w:val="single"/>
        </w:rPr>
        <w:t xml:space="preserve">          </w:t>
      </w:r>
      <w:r>
        <w:rPr>
          <w:rFonts w:hint="eastAsia" w:ascii="宋体" w:hAnsi="宋体" w:cs="宋体"/>
          <w:sz w:val="24"/>
          <w:highlight w:val="none"/>
        </w:rPr>
        <w:t>（用文字和数字表示的投标总价）。</w:t>
      </w:r>
    </w:p>
    <w:p>
      <w:pPr>
        <w:shd w:val="clear"/>
        <w:spacing w:line="440" w:lineRule="exact"/>
        <w:ind w:left="709" w:hanging="284"/>
        <w:rPr>
          <w:rFonts w:ascii="宋体" w:hAnsi="宋体" w:cs="宋体"/>
          <w:sz w:val="24"/>
          <w:highlight w:val="none"/>
        </w:rPr>
      </w:pPr>
      <w:r>
        <w:rPr>
          <w:rFonts w:hint="eastAsia" w:ascii="宋体" w:hAnsi="宋体" w:cs="宋体"/>
          <w:sz w:val="24"/>
          <w:highlight w:val="none"/>
        </w:rPr>
        <w:t>2. 我方将按招标文件的规定履行合同责任和义务。</w:t>
      </w:r>
    </w:p>
    <w:p>
      <w:pPr>
        <w:shd w:val="clear"/>
        <w:spacing w:line="440" w:lineRule="exact"/>
        <w:ind w:left="709" w:hanging="284"/>
        <w:rPr>
          <w:rFonts w:ascii="宋体" w:hAnsi="宋体" w:cs="宋体"/>
          <w:sz w:val="24"/>
          <w:highlight w:val="none"/>
        </w:rPr>
      </w:pPr>
      <w:r>
        <w:rPr>
          <w:rFonts w:hint="eastAsia" w:ascii="宋体" w:hAnsi="宋体" w:cs="宋体"/>
          <w:sz w:val="24"/>
          <w:highlight w:val="none"/>
        </w:rPr>
        <w:t>3. 我方已详细审查全部招标文件，包括第</w:t>
      </w:r>
      <w:r>
        <w:rPr>
          <w:rFonts w:hint="eastAsia" w:ascii="宋体" w:hAnsi="宋体" w:cs="宋体"/>
          <w:sz w:val="24"/>
          <w:highlight w:val="none"/>
          <w:u w:val="single"/>
        </w:rPr>
        <w:t>(编号、修改通知)(如果有的话)。</w:t>
      </w:r>
      <w:r>
        <w:rPr>
          <w:rFonts w:hint="eastAsia" w:ascii="宋体" w:hAnsi="宋体" w:cs="宋体"/>
          <w:sz w:val="24"/>
          <w:highlight w:val="none"/>
        </w:rPr>
        <w:t>我们完全理解并同意放弃对这方面有不明及误解的权力。</w:t>
      </w:r>
    </w:p>
    <w:p>
      <w:pPr>
        <w:shd w:val="clear"/>
        <w:spacing w:line="440" w:lineRule="exact"/>
        <w:ind w:left="707" w:hanging="283"/>
        <w:rPr>
          <w:rFonts w:ascii="宋体" w:hAnsi="宋体" w:cs="宋体"/>
          <w:sz w:val="24"/>
          <w:highlight w:val="none"/>
        </w:rPr>
      </w:pPr>
      <w:r>
        <w:rPr>
          <w:rFonts w:hint="eastAsia" w:ascii="宋体" w:hAnsi="宋体" w:cs="宋体"/>
          <w:sz w:val="24"/>
          <w:highlight w:val="none"/>
        </w:rPr>
        <w:t>4. 本投标有效期为自开标日起</w:t>
      </w:r>
      <w:r>
        <w:rPr>
          <w:rFonts w:hint="eastAsia" w:ascii="宋体" w:hAnsi="宋体" w:cs="宋体"/>
          <w:sz w:val="24"/>
          <w:highlight w:val="none"/>
          <w:u w:val="single"/>
        </w:rPr>
        <w:t xml:space="preserve"> 90  </w:t>
      </w:r>
      <w:r>
        <w:rPr>
          <w:rFonts w:hint="eastAsia" w:ascii="宋体" w:hAnsi="宋体" w:cs="宋体"/>
          <w:sz w:val="24"/>
          <w:highlight w:val="none"/>
        </w:rPr>
        <w:t>个日历日。</w:t>
      </w:r>
    </w:p>
    <w:p>
      <w:pPr>
        <w:shd w:val="clear"/>
        <w:spacing w:line="440" w:lineRule="exact"/>
        <w:ind w:left="707" w:hanging="283"/>
        <w:rPr>
          <w:rFonts w:ascii="宋体" w:hAnsi="宋体" w:cs="宋体"/>
          <w:sz w:val="24"/>
          <w:highlight w:val="none"/>
        </w:rPr>
      </w:pPr>
      <w:r>
        <w:rPr>
          <w:rFonts w:hint="eastAsia" w:ascii="宋体" w:hAnsi="宋体" w:cs="宋体"/>
          <w:sz w:val="24"/>
          <w:highlight w:val="none"/>
        </w:rPr>
        <w:t>5. 如果在规定的开标时间后，投标人在投标有效期内撤回投标，其投标保证金将被贵方没收。</w:t>
      </w:r>
    </w:p>
    <w:p>
      <w:pPr>
        <w:shd w:val="clear"/>
        <w:spacing w:line="440" w:lineRule="exact"/>
        <w:ind w:left="707" w:hanging="283"/>
        <w:rPr>
          <w:rFonts w:ascii="宋体" w:hAnsi="宋体" w:cs="宋体"/>
          <w:sz w:val="24"/>
          <w:highlight w:val="none"/>
        </w:rPr>
      </w:pPr>
      <w:r>
        <w:rPr>
          <w:rFonts w:hint="eastAsia" w:ascii="宋体" w:hAnsi="宋体" w:cs="宋体"/>
          <w:sz w:val="24"/>
          <w:highlight w:val="none"/>
        </w:rPr>
        <w:t>6. 根据招标文件之规定，我方承诺，与买方聘请的为此项目提供咨询服务的公司及任何附属机构均无关联，我方不是买方的附属机构。</w:t>
      </w:r>
    </w:p>
    <w:p>
      <w:pPr>
        <w:shd w:val="clear"/>
        <w:spacing w:line="440" w:lineRule="exact"/>
        <w:ind w:left="707" w:hanging="283"/>
        <w:rPr>
          <w:rFonts w:ascii="宋体" w:hAnsi="宋体" w:cs="宋体"/>
          <w:sz w:val="24"/>
          <w:highlight w:val="none"/>
        </w:rPr>
      </w:pPr>
      <w:r>
        <w:rPr>
          <w:rFonts w:hint="eastAsia" w:ascii="宋体" w:hAnsi="宋体" w:cs="宋体"/>
          <w:sz w:val="24"/>
          <w:highlight w:val="none"/>
        </w:rPr>
        <w:t>7. 投标人同意提供按照贵方可能要求的与其投标有关的一切数据或资料，完全理解贵方不一定接受最低价的投标或收到的任何投标。</w:t>
      </w:r>
    </w:p>
    <w:p>
      <w:pPr>
        <w:shd w:val="clear"/>
        <w:spacing w:line="440" w:lineRule="exact"/>
        <w:ind w:left="707" w:hanging="283"/>
        <w:rPr>
          <w:rFonts w:ascii="宋体" w:hAnsi="宋体" w:cs="宋体"/>
          <w:sz w:val="24"/>
          <w:highlight w:val="none"/>
        </w:rPr>
      </w:pPr>
      <w:r>
        <w:rPr>
          <w:rFonts w:hint="eastAsia" w:ascii="宋体" w:hAnsi="宋体" w:cs="宋体"/>
          <w:sz w:val="24"/>
          <w:highlight w:val="none"/>
        </w:rPr>
        <w:t>8. 与本投标有关的一切正式往来信函请寄：</w:t>
      </w:r>
    </w:p>
    <w:p>
      <w:pPr>
        <w:shd w:val="clear"/>
        <w:spacing w:line="440" w:lineRule="exact"/>
        <w:rPr>
          <w:rFonts w:ascii="宋体" w:hAnsi="宋体" w:cs="宋体"/>
          <w:sz w:val="24"/>
          <w:szCs w:val="24"/>
          <w:highlight w:val="none"/>
          <w:u w:val="single"/>
        </w:rPr>
      </w:pPr>
      <w:r>
        <w:rPr>
          <w:rFonts w:hint="eastAsia" w:ascii="宋体" w:hAnsi="宋体" w:cs="宋体"/>
          <w:sz w:val="24"/>
          <w:szCs w:val="24"/>
          <w:highlight w:val="none"/>
        </w:rPr>
        <w:t>地址：</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传真：</w:t>
      </w:r>
      <w:r>
        <w:rPr>
          <w:rFonts w:hint="eastAsia" w:ascii="宋体" w:hAnsi="宋体" w:cs="宋体"/>
          <w:sz w:val="24"/>
          <w:szCs w:val="24"/>
          <w:highlight w:val="none"/>
          <w:u w:val="single"/>
        </w:rPr>
        <w:t xml:space="preserve">                              </w:t>
      </w:r>
    </w:p>
    <w:p>
      <w:pPr>
        <w:shd w:val="clear"/>
        <w:spacing w:line="440" w:lineRule="exact"/>
        <w:rPr>
          <w:rFonts w:ascii="宋体" w:hAnsi="宋体" w:cs="宋体"/>
          <w:sz w:val="24"/>
          <w:szCs w:val="24"/>
          <w:highlight w:val="none"/>
          <w:u w:val="single"/>
        </w:rPr>
      </w:pPr>
      <w:r>
        <w:rPr>
          <w:rFonts w:hint="eastAsia" w:ascii="宋体" w:hAnsi="宋体" w:cs="宋体"/>
          <w:sz w:val="24"/>
          <w:szCs w:val="24"/>
          <w:highlight w:val="none"/>
        </w:rPr>
        <w:t>电话：</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电子邮件：</w:t>
      </w:r>
      <w:r>
        <w:rPr>
          <w:rFonts w:hint="eastAsia" w:ascii="宋体" w:hAnsi="宋体" w:cs="宋体"/>
          <w:sz w:val="24"/>
          <w:szCs w:val="24"/>
          <w:highlight w:val="none"/>
          <w:u w:val="single"/>
        </w:rPr>
        <w:t xml:space="preserve">                          </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投标人代表签字：</w:t>
      </w:r>
      <w:r>
        <w:rPr>
          <w:rFonts w:hint="eastAsia" w:ascii="宋体" w:hAnsi="宋体" w:cs="宋体"/>
          <w:sz w:val="24"/>
          <w:szCs w:val="24"/>
          <w:highlight w:val="none"/>
          <w:u w:val="single"/>
        </w:rPr>
        <w:t xml:space="preserve">                              </w:t>
      </w:r>
    </w:p>
    <w:p>
      <w:pPr>
        <w:shd w:val="clear"/>
        <w:spacing w:line="440" w:lineRule="exact"/>
        <w:rPr>
          <w:rFonts w:ascii="宋体" w:hAnsi="宋体" w:cs="宋体"/>
          <w:sz w:val="24"/>
          <w:szCs w:val="24"/>
          <w:highlight w:val="none"/>
          <w:u w:val="single"/>
        </w:rPr>
      </w:pPr>
      <w:r>
        <w:rPr>
          <w:rFonts w:hint="eastAsia" w:ascii="宋体" w:hAnsi="宋体" w:cs="宋体"/>
          <w:sz w:val="24"/>
          <w:szCs w:val="24"/>
          <w:highlight w:val="none"/>
        </w:rPr>
        <w:t>投标人名称：</w:t>
      </w:r>
      <w:r>
        <w:rPr>
          <w:rFonts w:hint="eastAsia" w:ascii="宋体" w:hAnsi="宋体" w:cs="宋体"/>
          <w:sz w:val="24"/>
          <w:szCs w:val="24"/>
          <w:highlight w:val="none"/>
          <w:u w:val="single"/>
        </w:rPr>
        <w:t xml:space="preserve">                                  </w:t>
      </w: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公章：</w:t>
      </w:r>
      <w:r>
        <w:rPr>
          <w:rFonts w:hint="eastAsia" w:ascii="宋体" w:hAnsi="宋体" w:cs="宋体"/>
          <w:sz w:val="24"/>
          <w:szCs w:val="24"/>
          <w:highlight w:val="none"/>
          <w:u w:val="single"/>
        </w:rPr>
        <w:t xml:space="preserve">                                       </w:t>
      </w:r>
    </w:p>
    <w:p>
      <w:pPr>
        <w:shd w:val="clear"/>
        <w:adjustRightInd w:val="0"/>
        <w:snapToGrid w:val="0"/>
        <w:spacing w:line="440" w:lineRule="exact"/>
        <w:rPr>
          <w:rFonts w:ascii="宋体" w:hAnsi="宋体" w:cs="宋体"/>
          <w:sz w:val="24"/>
          <w:szCs w:val="24"/>
          <w:highlight w:val="none"/>
          <w:u w:val="single"/>
        </w:rPr>
      </w:pPr>
      <w:r>
        <w:rPr>
          <w:rFonts w:hint="eastAsia" w:ascii="宋体" w:hAnsi="宋体" w:cs="宋体"/>
          <w:sz w:val="24"/>
          <w:szCs w:val="24"/>
          <w:highlight w:val="none"/>
        </w:rPr>
        <w:t>日期：</w:t>
      </w:r>
      <w:r>
        <w:rPr>
          <w:rFonts w:hint="eastAsia" w:ascii="宋体" w:hAnsi="宋体" w:cs="宋体"/>
          <w:sz w:val="24"/>
          <w:szCs w:val="24"/>
          <w:highlight w:val="none"/>
          <w:u w:val="single"/>
        </w:rPr>
        <w:t xml:space="preserve">                                             </w:t>
      </w:r>
    </w:p>
    <w:p>
      <w:pPr>
        <w:shd w:val="clear"/>
        <w:adjustRightInd w:val="0"/>
        <w:snapToGrid w:val="0"/>
        <w:spacing w:line="440" w:lineRule="exact"/>
        <w:rPr>
          <w:rFonts w:ascii="宋体" w:hAnsi="宋体" w:cs="宋体"/>
          <w:b/>
          <w:kern w:val="44"/>
          <w:sz w:val="24"/>
          <w:szCs w:val="24"/>
          <w:highlight w:val="none"/>
        </w:rPr>
        <w:sectPr>
          <w:pgSz w:w="11907" w:h="16840"/>
          <w:pgMar w:top="1440" w:right="1077" w:bottom="1440" w:left="1077" w:header="851" w:footer="851" w:gutter="0"/>
          <w:cols w:space="720" w:num="1"/>
          <w:docGrid w:linePitch="285" w:charSpace="0"/>
        </w:sectPr>
      </w:pPr>
    </w:p>
    <w:p>
      <w:pPr>
        <w:shd w:val="clear"/>
        <w:spacing w:line="440" w:lineRule="exact"/>
        <w:jc w:val="center"/>
        <w:outlineLvl w:val="1"/>
        <w:rPr>
          <w:rFonts w:ascii="宋体" w:hAnsi="宋体" w:cs="宋体"/>
          <w:b/>
          <w:bCs/>
          <w:sz w:val="28"/>
          <w:szCs w:val="28"/>
          <w:highlight w:val="none"/>
        </w:rPr>
      </w:pPr>
      <w:r>
        <w:rPr>
          <w:rFonts w:hint="eastAsia" w:ascii="宋体" w:hAnsi="宋体" w:cs="宋体"/>
          <w:b/>
          <w:bCs/>
          <w:sz w:val="28"/>
          <w:szCs w:val="28"/>
          <w:highlight w:val="none"/>
        </w:rPr>
        <w:t>2.投标一览表</w:t>
      </w:r>
    </w:p>
    <w:p>
      <w:pPr>
        <w:shd w:val="clear"/>
        <w:spacing w:line="440" w:lineRule="exact"/>
        <w:ind w:left="3" w:leftChars="-50" w:hanging="103" w:hangingChars="43"/>
        <w:rPr>
          <w:rFonts w:ascii="宋体" w:hAnsi="宋体" w:cs="宋体"/>
          <w:sz w:val="24"/>
          <w:highlight w:val="none"/>
        </w:rPr>
      </w:pPr>
      <w:r>
        <w:rPr>
          <w:rFonts w:hint="eastAsia" w:ascii="宋体" w:hAnsi="宋体" w:cs="宋体"/>
          <w:sz w:val="24"/>
          <w:highlight w:val="none"/>
        </w:rPr>
        <w:t xml:space="preserve">招标编号： </w:t>
      </w:r>
    </w:p>
    <w:tbl>
      <w:tblPr>
        <w:tblStyle w:val="37"/>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880"/>
        <w:gridCol w:w="1980"/>
        <w:gridCol w:w="1440"/>
        <w:gridCol w:w="1620"/>
        <w:gridCol w:w="1620"/>
        <w:gridCol w:w="1351"/>
        <w:gridCol w:w="13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468"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序号</w:t>
            </w:r>
          </w:p>
        </w:tc>
        <w:tc>
          <w:tcPr>
            <w:tcW w:w="2880"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投标名称</w:t>
            </w:r>
          </w:p>
        </w:tc>
        <w:tc>
          <w:tcPr>
            <w:tcW w:w="1980"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投标总价（万元）</w:t>
            </w:r>
          </w:p>
        </w:tc>
        <w:tc>
          <w:tcPr>
            <w:tcW w:w="1440"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投标声明</w:t>
            </w:r>
          </w:p>
        </w:tc>
        <w:tc>
          <w:tcPr>
            <w:tcW w:w="1620"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投标保证金</w:t>
            </w:r>
          </w:p>
        </w:tc>
        <w:tc>
          <w:tcPr>
            <w:tcW w:w="1620"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质量承诺</w:t>
            </w:r>
          </w:p>
        </w:tc>
        <w:tc>
          <w:tcPr>
            <w:tcW w:w="1351"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工期承诺</w:t>
            </w:r>
          </w:p>
        </w:tc>
        <w:tc>
          <w:tcPr>
            <w:tcW w:w="1351"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468"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1</w:t>
            </w:r>
          </w:p>
        </w:tc>
        <w:tc>
          <w:tcPr>
            <w:tcW w:w="2880" w:type="dxa"/>
          </w:tcPr>
          <w:p>
            <w:pPr>
              <w:shd w:val="clear"/>
              <w:spacing w:line="440" w:lineRule="exact"/>
              <w:rPr>
                <w:rFonts w:ascii="宋体" w:hAnsi="宋体" w:cs="宋体"/>
                <w:szCs w:val="21"/>
                <w:highlight w:val="none"/>
              </w:rPr>
            </w:pPr>
            <w:r>
              <w:rPr>
                <w:rFonts w:hint="eastAsia" w:ascii="宋体" w:hAnsi="宋体" w:cs="宋体"/>
                <w:szCs w:val="21"/>
                <w:highlight w:val="none"/>
              </w:rPr>
              <w:t xml:space="preserve"> </w:t>
            </w:r>
          </w:p>
        </w:tc>
        <w:tc>
          <w:tcPr>
            <w:tcW w:w="1980" w:type="dxa"/>
            <w:vAlign w:val="center"/>
          </w:tcPr>
          <w:p>
            <w:pPr>
              <w:shd w:val="clear"/>
              <w:spacing w:line="440" w:lineRule="exact"/>
              <w:jc w:val="center"/>
              <w:rPr>
                <w:rFonts w:ascii="宋体" w:hAnsi="宋体" w:cs="宋体"/>
                <w:sz w:val="24"/>
                <w:highlight w:val="none"/>
              </w:rPr>
            </w:pPr>
          </w:p>
        </w:tc>
        <w:tc>
          <w:tcPr>
            <w:tcW w:w="1440" w:type="dxa"/>
            <w:vAlign w:val="center"/>
          </w:tcPr>
          <w:p>
            <w:pPr>
              <w:shd w:val="clear"/>
              <w:spacing w:line="440" w:lineRule="exact"/>
              <w:jc w:val="center"/>
              <w:rPr>
                <w:rFonts w:ascii="宋体" w:hAnsi="宋体" w:cs="宋体"/>
                <w:sz w:val="24"/>
                <w:highlight w:val="none"/>
              </w:rPr>
            </w:pPr>
          </w:p>
        </w:tc>
        <w:tc>
          <w:tcPr>
            <w:tcW w:w="1620" w:type="dxa"/>
            <w:vAlign w:val="center"/>
          </w:tcPr>
          <w:p>
            <w:pPr>
              <w:shd w:val="clear"/>
              <w:spacing w:line="440" w:lineRule="exact"/>
              <w:jc w:val="center"/>
              <w:rPr>
                <w:rFonts w:ascii="宋体" w:hAnsi="宋体" w:cs="宋体"/>
                <w:sz w:val="24"/>
                <w:highlight w:val="none"/>
              </w:rPr>
            </w:pPr>
          </w:p>
        </w:tc>
        <w:tc>
          <w:tcPr>
            <w:tcW w:w="1620" w:type="dxa"/>
            <w:vAlign w:val="center"/>
          </w:tcPr>
          <w:p>
            <w:pPr>
              <w:shd w:val="clear"/>
              <w:spacing w:line="440" w:lineRule="exact"/>
              <w:rPr>
                <w:rFonts w:ascii="宋体" w:hAnsi="宋体" w:cs="宋体"/>
                <w:sz w:val="24"/>
                <w:highlight w:val="none"/>
              </w:rPr>
            </w:pPr>
          </w:p>
        </w:tc>
        <w:tc>
          <w:tcPr>
            <w:tcW w:w="1351" w:type="dxa"/>
            <w:vAlign w:val="center"/>
          </w:tcPr>
          <w:p>
            <w:pPr>
              <w:shd w:val="clear"/>
              <w:spacing w:line="440" w:lineRule="exact"/>
              <w:jc w:val="center"/>
              <w:rPr>
                <w:rFonts w:ascii="宋体" w:hAnsi="宋体" w:cs="宋体"/>
                <w:sz w:val="24"/>
                <w:highlight w:val="none"/>
              </w:rPr>
            </w:pPr>
          </w:p>
        </w:tc>
        <w:tc>
          <w:tcPr>
            <w:tcW w:w="1351" w:type="dxa"/>
            <w:vAlign w:val="center"/>
          </w:tcPr>
          <w:p>
            <w:pPr>
              <w:shd w:val="clear"/>
              <w:spacing w:line="440" w:lineRule="exact"/>
              <w:rPr>
                <w:rFonts w:ascii="宋体" w:hAnsi="宋体" w:cs="宋体"/>
                <w:sz w:val="24"/>
                <w:highlight w:val="none"/>
              </w:rPr>
            </w:pPr>
          </w:p>
        </w:tc>
      </w:tr>
    </w:tbl>
    <w:p>
      <w:pPr>
        <w:shd w:val="clear"/>
        <w:spacing w:line="440" w:lineRule="exact"/>
        <w:ind w:left="3" w:leftChars="-50" w:hanging="103" w:hangingChars="43"/>
        <w:rPr>
          <w:rFonts w:ascii="宋体" w:hAnsi="宋体" w:cs="宋体"/>
          <w:sz w:val="24"/>
          <w:szCs w:val="24"/>
          <w:highlight w:val="none"/>
        </w:rPr>
      </w:pPr>
      <w:r>
        <w:rPr>
          <w:rFonts w:hint="eastAsia" w:ascii="宋体" w:hAnsi="宋体" w:cs="宋体"/>
          <w:sz w:val="24"/>
          <w:szCs w:val="24"/>
          <w:highlight w:val="none"/>
        </w:rPr>
        <w:t>注：为方便开标，投标人应将此表、投标保证金单独密封，并在信封上标明“投标一览表”字样；</w:t>
      </w:r>
    </w:p>
    <w:p>
      <w:pPr>
        <w:shd w:val="clear"/>
        <w:spacing w:line="440" w:lineRule="exact"/>
        <w:rPr>
          <w:rFonts w:ascii="宋体" w:hAnsi="宋体" w:cs="宋体"/>
          <w:szCs w:val="21"/>
          <w:highlight w:val="none"/>
        </w:rPr>
      </w:pPr>
      <w:r>
        <w:rPr>
          <w:rFonts w:hint="eastAsia" w:ascii="宋体" w:hAnsi="宋体" w:cs="宋体"/>
          <w:szCs w:val="21"/>
          <w:highlight w:val="none"/>
        </w:rPr>
        <w:t xml:space="preserve">  </w:t>
      </w:r>
    </w:p>
    <w:p>
      <w:pPr>
        <w:shd w:val="clear"/>
        <w:spacing w:line="440" w:lineRule="exact"/>
        <w:rPr>
          <w:rFonts w:ascii="宋体" w:hAnsi="宋体" w:cs="宋体"/>
          <w:i/>
          <w:szCs w:val="21"/>
          <w:highlight w:val="none"/>
        </w:rPr>
      </w:pPr>
    </w:p>
    <w:p>
      <w:pPr>
        <w:shd w:val="clear"/>
        <w:spacing w:line="440" w:lineRule="exact"/>
        <w:rPr>
          <w:rFonts w:ascii="宋体" w:hAnsi="宋体" w:cs="宋体"/>
          <w:b/>
          <w:sz w:val="24"/>
          <w:szCs w:val="24"/>
          <w:highlight w:val="none"/>
        </w:rPr>
      </w:pPr>
      <w:r>
        <w:rPr>
          <w:rFonts w:hint="eastAsia" w:ascii="宋体" w:hAnsi="宋体" w:cs="宋体"/>
          <w:b/>
          <w:sz w:val="24"/>
          <w:szCs w:val="24"/>
          <w:highlight w:val="none"/>
        </w:rPr>
        <w:t>投标人（盖章）：</w:t>
      </w:r>
    </w:p>
    <w:p>
      <w:pPr>
        <w:shd w:val="clear"/>
        <w:spacing w:line="440" w:lineRule="exact"/>
        <w:rPr>
          <w:rFonts w:ascii="宋体" w:hAnsi="宋体" w:cs="宋体"/>
          <w:sz w:val="24"/>
          <w:szCs w:val="24"/>
          <w:highlight w:val="none"/>
        </w:rPr>
      </w:pPr>
    </w:p>
    <w:p>
      <w:pPr>
        <w:shd w:val="clear"/>
        <w:adjustRightInd w:val="0"/>
        <w:snapToGrid w:val="0"/>
        <w:spacing w:line="440" w:lineRule="exact"/>
        <w:rPr>
          <w:rFonts w:ascii="宋体" w:hAnsi="宋体" w:cs="宋体"/>
          <w:sz w:val="24"/>
          <w:szCs w:val="24"/>
          <w:highlight w:val="none"/>
          <w:u w:val="single"/>
        </w:rPr>
      </w:pPr>
      <w:r>
        <w:rPr>
          <w:rFonts w:hint="eastAsia" w:ascii="宋体" w:hAnsi="宋体" w:cs="宋体"/>
          <w:b/>
          <w:sz w:val="24"/>
          <w:szCs w:val="24"/>
          <w:highlight w:val="none"/>
        </w:rPr>
        <w:t>投标代表签字</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p>
    <w:p>
      <w:pPr>
        <w:shd w:val="clear"/>
        <w:spacing w:line="440" w:lineRule="exact"/>
        <w:jc w:val="center"/>
        <w:outlineLvl w:val="1"/>
        <w:rPr>
          <w:rFonts w:ascii="宋体" w:hAnsi="宋体" w:cs="宋体"/>
          <w:bCs/>
          <w:sz w:val="24"/>
          <w:highlight w:val="none"/>
        </w:rPr>
      </w:pPr>
      <w:r>
        <w:rPr>
          <w:rFonts w:hint="eastAsia" w:ascii="宋体" w:hAnsi="宋体" w:cs="宋体"/>
          <w:sz w:val="24"/>
          <w:szCs w:val="24"/>
          <w:highlight w:val="none"/>
          <w:u w:val="single"/>
        </w:rPr>
        <w:br w:type="page"/>
      </w:r>
      <w:r>
        <w:rPr>
          <w:rFonts w:hint="eastAsia" w:ascii="宋体" w:hAnsi="宋体" w:cs="宋体"/>
          <w:b/>
          <w:bCs/>
          <w:sz w:val="28"/>
          <w:szCs w:val="28"/>
          <w:highlight w:val="none"/>
        </w:rPr>
        <w:t>3.投标分项报价表</w:t>
      </w:r>
    </w:p>
    <w:p>
      <w:pPr>
        <w:shd w:val="clear"/>
        <w:spacing w:line="440" w:lineRule="exact"/>
        <w:jc w:val="center"/>
        <w:rPr>
          <w:rFonts w:ascii="宋体" w:hAnsi="宋体" w:cs="宋体"/>
          <w:b/>
          <w:bCs/>
          <w:sz w:val="24"/>
          <w:highlight w:val="none"/>
        </w:rPr>
      </w:pPr>
    </w:p>
    <w:p>
      <w:pPr>
        <w:pStyle w:val="45"/>
        <w:shd w:val="clear"/>
        <w:ind w:firstLine="480"/>
        <w:rPr>
          <w:rFonts w:ascii="宋体" w:hAnsi="宋体"/>
          <w:sz w:val="24"/>
          <w:highlight w:val="none"/>
        </w:rPr>
      </w:pPr>
    </w:p>
    <w:p>
      <w:pPr>
        <w:pStyle w:val="45"/>
        <w:shd w:val="clear"/>
        <w:ind w:firstLine="480"/>
        <w:rPr>
          <w:highlight w:val="none"/>
        </w:rPr>
      </w:pPr>
      <w:r>
        <w:rPr>
          <w:rFonts w:hint="eastAsia" w:ascii="宋体" w:hAnsi="宋体"/>
          <w:sz w:val="24"/>
          <w:highlight w:val="none"/>
        </w:rPr>
        <w:t>格式详见工程量清单</w:t>
      </w:r>
    </w:p>
    <w:p>
      <w:pPr>
        <w:shd w:val="clear"/>
        <w:spacing w:line="440" w:lineRule="exact"/>
        <w:rPr>
          <w:rFonts w:ascii="宋体" w:hAnsi="宋体" w:cs="宋体"/>
          <w:b/>
          <w:sz w:val="24"/>
          <w:szCs w:val="24"/>
          <w:highlight w:val="none"/>
        </w:rPr>
      </w:pPr>
    </w:p>
    <w:p>
      <w:pPr>
        <w:shd w:val="clear"/>
        <w:spacing w:line="440" w:lineRule="exact"/>
        <w:rPr>
          <w:rFonts w:ascii="宋体" w:hAnsi="宋体" w:cs="宋体"/>
          <w:b/>
          <w:sz w:val="24"/>
          <w:szCs w:val="24"/>
          <w:highlight w:val="none"/>
        </w:rPr>
      </w:pPr>
    </w:p>
    <w:p>
      <w:pPr>
        <w:shd w:val="clear"/>
        <w:spacing w:line="440" w:lineRule="exact"/>
        <w:rPr>
          <w:rFonts w:ascii="宋体" w:hAnsi="宋体" w:cs="宋体"/>
          <w:b/>
          <w:sz w:val="24"/>
          <w:szCs w:val="24"/>
          <w:highlight w:val="none"/>
        </w:rPr>
      </w:pPr>
    </w:p>
    <w:p>
      <w:pPr>
        <w:shd w:val="clear"/>
        <w:spacing w:line="440" w:lineRule="exact"/>
        <w:rPr>
          <w:rFonts w:ascii="宋体" w:hAnsi="宋体" w:cs="宋体"/>
          <w:b/>
          <w:sz w:val="24"/>
          <w:szCs w:val="24"/>
          <w:highlight w:val="none"/>
        </w:rPr>
      </w:pPr>
    </w:p>
    <w:p>
      <w:pPr>
        <w:shd w:val="clear"/>
        <w:spacing w:line="440" w:lineRule="exact"/>
        <w:rPr>
          <w:rFonts w:ascii="宋体" w:hAnsi="宋体" w:cs="宋体"/>
          <w:b/>
          <w:sz w:val="24"/>
          <w:szCs w:val="24"/>
          <w:highlight w:val="none"/>
        </w:rPr>
      </w:pPr>
    </w:p>
    <w:p>
      <w:pPr>
        <w:shd w:val="clear"/>
        <w:spacing w:line="440" w:lineRule="exact"/>
        <w:rPr>
          <w:rFonts w:ascii="宋体" w:hAnsi="宋体" w:cs="宋体"/>
          <w:b/>
          <w:sz w:val="24"/>
          <w:szCs w:val="24"/>
          <w:highlight w:val="none"/>
        </w:rPr>
      </w:pPr>
    </w:p>
    <w:p>
      <w:pPr>
        <w:shd w:val="clear"/>
        <w:spacing w:line="440" w:lineRule="exact"/>
        <w:rPr>
          <w:rFonts w:ascii="宋体" w:hAnsi="宋体" w:cs="宋体"/>
          <w:b/>
          <w:sz w:val="24"/>
          <w:szCs w:val="24"/>
          <w:highlight w:val="none"/>
        </w:rPr>
      </w:pPr>
      <w:r>
        <w:rPr>
          <w:rFonts w:hint="eastAsia" w:ascii="宋体" w:hAnsi="宋体" w:cs="宋体"/>
          <w:b/>
          <w:sz w:val="24"/>
          <w:szCs w:val="24"/>
          <w:highlight w:val="none"/>
        </w:rPr>
        <w:t xml:space="preserve">投标人（盖章）：                  </w:t>
      </w:r>
    </w:p>
    <w:p>
      <w:pPr>
        <w:shd w:val="clear"/>
        <w:spacing w:line="440" w:lineRule="exact"/>
        <w:rPr>
          <w:rFonts w:ascii="宋体" w:hAnsi="宋体" w:cs="宋体"/>
          <w:b/>
          <w:sz w:val="24"/>
          <w:szCs w:val="24"/>
          <w:highlight w:val="none"/>
        </w:rPr>
      </w:pPr>
    </w:p>
    <w:p>
      <w:pPr>
        <w:shd w:val="clear"/>
        <w:spacing w:line="440" w:lineRule="exact"/>
        <w:rPr>
          <w:rFonts w:ascii="宋体" w:hAnsi="宋体" w:cs="宋体"/>
          <w:sz w:val="24"/>
          <w:szCs w:val="24"/>
          <w:highlight w:val="none"/>
          <w:u w:val="single"/>
        </w:rPr>
      </w:pPr>
      <w:r>
        <w:rPr>
          <w:rFonts w:hint="eastAsia" w:ascii="宋体" w:hAnsi="宋体" w:cs="宋体"/>
          <w:b/>
          <w:sz w:val="24"/>
          <w:szCs w:val="24"/>
          <w:highlight w:val="none"/>
        </w:rPr>
        <w:t>投标代表签字</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p>
    <w:p>
      <w:pPr>
        <w:shd w:val="clear"/>
        <w:adjustRightInd w:val="0"/>
        <w:snapToGrid w:val="0"/>
        <w:spacing w:line="440" w:lineRule="exact"/>
        <w:rPr>
          <w:rFonts w:ascii="宋体" w:hAnsi="宋体" w:cs="宋体"/>
          <w:sz w:val="24"/>
          <w:szCs w:val="24"/>
          <w:highlight w:val="none"/>
          <w:u w:val="single"/>
        </w:rPr>
        <w:sectPr>
          <w:pgSz w:w="16840" w:h="11907" w:orient="landscape"/>
          <w:pgMar w:top="1418" w:right="1247" w:bottom="1247" w:left="1191" w:header="851" w:footer="851" w:gutter="0"/>
          <w:cols w:space="720" w:num="1"/>
          <w:docGrid w:linePitch="285" w:charSpace="0"/>
        </w:sectPr>
      </w:pPr>
    </w:p>
    <w:p>
      <w:pPr>
        <w:shd w:val="clear"/>
        <w:spacing w:line="440" w:lineRule="exact"/>
        <w:jc w:val="center"/>
        <w:outlineLvl w:val="1"/>
        <w:rPr>
          <w:rFonts w:ascii="宋体" w:hAnsi="宋体" w:cs="宋体"/>
          <w:b/>
          <w:bCs/>
          <w:sz w:val="28"/>
          <w:szCs w:val="28"/>
          <w:highlight w:val="none"/>
        </w:rPr>
      </w:pPr>
      <w:r>
        <w:rPr>
          <w:rFonts w:hint="eastAsia" w:ascii="宋体" w:hAnsi="宋体" w:cs="宋体"/>
          <w:b/>
          <w:bCs/>
          <w:sz w:val="28"/>
          <w:szCs w:val="28"/>
          <w:highlight w:val="none"/>
        </w:rPr>
        <w:t>4.施工工期响应表</w:t>
      </w:r>
    </w:p>
    <w:p>
      <w:pPr>
        <w:shd w:val="clear"/>
        <w:spacing w:line="440" w:lineRule="exact"/>
        <w:jc w:val="center"/>
        <w:rPr>
          <w:rFonts w:ascii="宋体" w:hAnsi="宋体" w:cs="宋体"/>
          <w:b/>
          <w:bCs/>
          <w:sz w:val="30"/>
          <w:highlight w:val="none"/>
        </w:rPr>
      </w:pPr>
    </w:p>
    <w:p>
      <w:pPr>
        <w:shd w:val="clear"/>
        <w:spacing w:line="440" w:lineRule="exact"/>
        <w:jc w:val="left"/>
        <w:rPr>
          <w:rFonts w:ascii="宋体" w:hAnsi="宋体" w:cs="宋体"/>
          <w:b/>
          <w:bCs/>
          <w:sz w:val="28"/>
          <w:szCs w:val="28"/>
          <w:highlight w:val="none"/>
        </w:rPr>
      </w:pPr>
      <w:r>
        <w:rPr>
          <w:rFonts w:hint="eastAsia" w:ascii="宋体" w:hAnsi="宋体" w:cs="宋体"/>
          <w:b/>
          <w:bCs/>
          <w:sz w:val="28"/>
          <w:szCs w:val="28"/>
          <w:highlight w:val="none"/>
        </w:rPr>
        <w:t>1、本工程总施工工期（含单机及联动试车）承诺在</w:t>
      </w:r>
      <w:r>
        <w:rPr>
          <w:rFonts w:hint="eastAsia" w:ascii="宋体" w:hAnsi="宋体" w:cs="宋体"/>
          <w:b/>
          <w:bCs/>
          <w:sz w:val="28"/>
          <w:szCs w:val="28"/>
          <w:highlight w:val="none"/>
          <w:u w:val="single"/>
        </w:rPr>
        <w:t xml:space="preserve">          </w:t>
      </w:r>
      <w:r>
        <w:rPr>
          <w:rFonts w:hint="eastAsia" w:ascii="宋体" w:hAnsi="宋体" w:cs="宋体"/>
          <w:b/>
          <w:bCs/>
          <w:sz w:val="28"/>
          <w:szCs w:val="28"/>
          <w:highlight w:val="none"/>
        </w:rPr>
        <w:t>天内完成。</w:t>
      </w:r>
    </w:p>
    <w:p>
      <w:pPr>
        <w:shd w:val="clear"/>
        <w:spacing w:line="440" w:lineRule="exact"/>
        <w:jc w:val="left"/>
        <w:rPr>
          <w:rFonts w:ascii="宋体" w:hAnsi="宋体" w:cs="宋体"/>
          <w:b/>
          <w:bCs/>
          <w:sz w:val="28"/>
          <w:szCs w:val="28"/>
          <w:highlight w:val="none"/>
        </w:rPr>
      </w:pPr>
    </w:p>
    <w:p>
      <w:pPr>
        <w:shd w:val="clear"/>
        <w:spacing w:line="440" w:lineRule="exact"/>
        <w:jc w:val="left"/>
        <w:rPr>
          <w:rFonts w:ascii="宋体" w:hAnsi="宋体" w:cs="宋体"/>
          <w:b/>
          <w:bCs/>
          <w:sz w:val="28"/>
          <w:szCs w:val="28"/>
          <w:highlight w:val="none"/>
        </w:rPr>
      </w:pPr>
      <w:r>
        <w:rPr>
          <w:rFonts w:hint="eastAsia" w:ascii="宋体" w:hAnsi="宋体" w:cs="宋体"/>
          <w:b/>
          <w:bCs/>
          <w:sz w:val="28"/>
          <w:szCs w:val="28"/>
          <w:highlight w:val="none"/>
        </w:rPr>
        <w:t>2、各关键子项工程施工工期（不含单机及联动试车工期）承诺在以下期限内完成：</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5158"/>
        <w:gridCol w:w="3004"/>
        <w:gridCol w:w="4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27"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序号</w:t>
            </w:r>
          </w:p>
        </w:tc>
        <w:tc>
          <w:tcPr>
            <w:tcW w:w="5158"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子项工程名称</w:t>
            </w:r>
          </w:p>
        </w:tc>
        <w:tc>
          <w:tcPr>
            <w:tcW w:w="3004"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施工工期（天）</w:t>
            </w:r>
          </w:p>
        </w:tc>
        <w:tc>
          <w:tcPr>
            <w:tcW w:w="4751"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27"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1</w:t>
            </w:r>
          </w:p>
        </w:tc>
        <w:tc>
          <w:tcPr>
            <w:tcW w:w="5158" w:type="dxa"/>
          </w:tcPr>
          <w:p>
            <w:pPr>
              <w:shd w:val="clear"/>
              <w:snapToGrid w:val="0"/>
              <w:spacing w:line="440" w:lineRule="exact"/>
              <w:jc w:val="center"/>
              <w:rPr>
                <w:rFonts w:ascii="宋体" w:hAnsi="宋体" w:cs="宋体"/>
                <w:sz w:val="24"/>
                <w:highlight w:val="none"/>
              </w:rPr>
            </w:pPr>
          </w:p>
        </w:tc>
        <w:tc>
          <w:tcPr>
            <w:tcW w:w="3004" w:type="dxa"/>
          </w:tcPr>
          <w:p>
            <w:pPr>
              <w:shd w:val="clear"/>
              <w:snapToGrid w:val="0"/>
              <w:spacing w:line="440" w:lineRule="exact"/>
              <w:jc w:val="center"/>
              <w:rPr>
                <w:rFonts w:ascii="宋体" w:hAnsi="宋体" w:cs="宋体"/>
                <w:sz w:val="24"/>
                <w:highlight w:val="none"/>
              </w:rPr>
            </w:pPr>
          </w:p>
        </w:tc>
        <w:tc>
          <w:tcPr>
            <w:tcW w:w="4751"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27"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2</w:t>
            </w:r>
          </w:p>
        </w:tc>
        <w:tc>
          <w:tcPr>
            <w:tcW w:w="5158" w:type="dxa"/>
          </w:tcPr>
          <w:p>
            <w:pPr>
              <w:shd w:val="clear"/>
              <w:snapToGrid w:val="0"/>
              <w:spacing w:line="440" w:lineRule="exact"/>
              <w:jc w:val="center"/>
              <w:rPr>
                <w:rFonts w:ascii="宋体" w:hAnsi="宋体" w:cs="宋体"/>
                <w:sz w:val="24"/>
                <w:highlight w:val="none"/>
              </w:rPr>
            </w:pPr>
          </w:p>
        </w:tc>
        <w:tc>
          <w:tcPr>
            <w:tcW w:w="3004" w:type="dxa"/>
          </w:tcPr>
          <w:p>
            <w:pPr>
              <w:shd w:val="clear"/>
              <w:snapToGrid w:val="0"/>
              <w:spacing w:line="440" w:lineRule="exact"/>
              <w:jc w:val="center"/>
              <w:rPr>
                <w:rFonts w:ascii="宋体" w:hAnsi="宋体" w:cs="宋体"/>
                <w:sz w:val="24"/>
                <w:highlight w:val="none"/>
              </w:rPr>
            </w:pPr>
          </w:p>
        </w:tc>
        <w:tc>
          <w:tcPr>
            <w:tcW w:w="4751"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27"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3</w:t>
            </w:r>
          </w:p>
        </w:tc>
        <w:tc>
          <w:tcPr>
            <w:tcW w:w="5158" w:type="dxa"/>
          </w:tcPr>
          <w:p>
            <w:pPr>
              <w:shd w:val="clear"/>
              <w:snapToGrid w:val="0"/>
              <w:spacing w:line="440" w:lineRule="exact"/>
              <w:jc w:val="center"/>
              <w:rPr>
                <w:rFonts w:ascii="宋体" w:hAnsi="宋体" w:cs="宋体"/>
                <w:sz w:val="24"/>
                <w:highlight w:val="none"/>
              </w:rPr>
            </w:pPr>
          </w:p>
        </w:tc>
        <w:tc>
          <w:tcPr>
            <w:tcW w:w="3004" w:type="dxa"/>
          </w:tcPr>
          <w:p>
            <w:pPr>
              <w:shd w:val="clear"/>
              <w:snapToGrid w:val="0"/>
              <w:spacing w:line="440" w:lineRule="exact"/>
              <w:jc w:val="center"/>
              <w:rPr>
                <w:rFonts w:ascii="宋体" w:hAnsi="宋体" w:cs="宋体"/>
                <w:sz w:val="24"/>
                <w:highlight w:val="none"/>
              </w:rPr>
            </w:pPr>
          </w:p>
        </w:tc>
        <w:tc>
          <w:tcPr>
            <w:tcW w:w="4751"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27"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4</w:t>
            </w:r>
          </w:p>
        </w:tc>
        <w:tc>
          <w:tcPr>
            <w:tcW w:w="5158" w:type="dxa"/>
          </w:tcPr>
          <w:p>
            <w:pPr>
              <w:shd w:val="clear"/>
              <w:snapToGrid w:val="0"/>
              <w:spacing w:line="440" w:lineRule="exact"/>
              <w:jc w:val="center"/>
              <w:rPr>
                <w:rFonts w:ascii="宋体" w:hAnsi="宋体" w:cs="宋体"/>
                <w:sz w:val="24"/>
                <w:highlight w:val="none"/>
              </w:rPr>
            </w:pPr>
          </w:p>
        </w:tc>
        <w:tc>
          <w:tcPr>
            <w:tcW w:w="3004" w:type="dxa"/>
          </w:tcPr>
          <w:p>
            <w:pPr>
              <w:shd w:val="clear"/>
              <w:snapToGrid w:val="0"/>
              <w:spacing w:line="440" w:lineRule="exact"/>
              <w:jc w:val="center"/>
              <w:rPr>
                <w:rFonts w:ascii="宋体" w:hAnsi="宋体" w:cs="宋体"/>
                <w:sz w:val="24"/>
                <w:highlight w:val="none"/>
              </w:rPr>
            </w:pPr>
          </w:p>
        </w:tc>
        <w:tc>
          <w:tcPr>
            <w:tcW w:w="4751"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27"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5</w:t>
            </w:r>
          </w:p>
        </w:tc>
        <w:tc>
          <w:tcPr>
            <w:tcW w:w="5158" w:type="dxa"/>
          </w:tcPr>
          <w:p>
            <w:pPr>
              <w:shd w:val="clear"/>
              <w:snapToGrid w:val="0"/>
              <w:spacing w:line="440" w:lineRule="exact"/>
              <w:jc w:val="center"/>
              <w:rPr>
                <w:rFonts w:ascii="宋体" w:hAnsi="宋体" w:cs="宋体"/>
                <w:sz w:val="24"/>
                <w:highlight w:val="none"/>
              </w:rPr>
            </w:pPr>
          </w:p>
        </w:tc>
        <w:tc>
          <w:tcPr>
            <w:tcW w:w="3004" w:type="dxa"/>
          </w:tcPr>
          <w:p>
            <w:pPr>
              <w:shd w:val="clear"/>
              <w:snapToGrid w:val="0"/>
              <w:spacing w:line="440" w:lineRule="exact"/>
              <w:jc w:val="center"/>
              <w:rPr>
                <w:rFonts w:ascii="宋体" w:hAnsi="宋体" w:cs="宋体"/>
                <w:sz w:val="24"/>
                <w:highlight w:val="none"/>
              </w:rPr>
            </w:pPr>
          </w:p>
        </w:tc>
        <w:tc>
          <w:tcPr>
            <w:tcW w:w="4751"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27"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6</w:t>
            </w:r>
          </w:p>
        </w:tc>
        <w:tc>
          <w:tcPr>
            <w:tcW w:w="5158" w:type="dxa"/>
          </w:tcPr>
          <w:p>
            <w:pPr>
              <w:shd w:val="clear"/>
              <w:snapToGrid w:val="0"/>
              <w:spacing w:line="440" w:lineRule="exact"/>
              <w:jc w:val="center"/>
              <w:rPr>
                <w:rFonts w:ascii="宋体" w:hAnsi="宋体" w:cs="宋体"/>
                <w:sz w:val="24"/>
                <w:highlight w:val="none"/>
              </w:rPr>
            </w:pPr>
          </w:p>
        </w:tc>
        <w:tc>
          <w:tcPr>
            <w:tcW w:w="3004" w:type="dxa"/>
          </w:tcPr>
          <w:p>
            <w:pPr>
              <w:shd w:val="clear"/>
              <w:snapToGrid w:val="0"/>
              <w:spacing w:line="440" w:lineRule="exact"/>
              <w:jc w:val="center"/>
              <w:rPr>
                <w:rFonts w:ascii="宋体" w:hAnsi="宋体" w:cs="宋体"/>
                <w:sz w:val="24"/>
                <w:highlight w:val="none"/>
              </w:rPr>
            </w:pPr>
          </w:p>
        </w:tc>
        <w:tc>
          <w:tcPr>
            <w:tcW w:w="4751"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27" w:type="dxa"/>
          </w:tcPr>
          <w:p>
            <w:pPr>
              <w:shd w:val="clear"/>
              <w:snapToGrid w:val="0"/>
              <w:spacing w:line="440" w:lineRule="exact"/>
              <w:jc w:val="center"/>
              <w:rPr>
                <w:rFonts w:ascii="宋体" w:hAnsi="宋体" w:cs="宋体"/>
                <w:sz w:val="24"/>
                <w:highlight w:val="none"/>
              </w:rPr>
            </w:pPr>
            <w:r>
              <w:rPr>
                <w:rFonts w:hint="eastAsia" w:ascii="宋体" w:hAnsi="宋体" w:cs="宋体"/>
                <w:sz w:val="24"/>
                <w:highlight w:val="none"/>
              </w:rPr>
              <w:t>7</w:t>
            </w:r>
          </w:p>
        </w:tc>
        <w:tc>
          <w:tcPr>
            <w:tcW w:w="5158" w:type="dxa"/>
          </w:tcPr>
          <w:p>
            <w:pPr>
              <w:shd w:val="clear"/>
              <w:snapToGrid w:val="0"/>
              <w:spacing w:line="440" w:lineRule="exact"/>
              <w:jc w:val="center"/>
              <w:rPr>
                <w:rFonts w:ascii="宋体" w:hAnsi="宋体" w:cs="宋体"/>
                <w:sz w:val="24"/>
                <w:highlight w:val="none"/>
              </w:rPr>
            </w:pPr>
          </w:p>
        </w:tc>
        <w:tc>
          <w:tcPr>
            <w:tcW w:w="3004" w:type="dxa"/>
          </w:tcPr>
          <w:p>
            <w:pPr>
              <w:shd w:val="clear"/>
              <w:snapToGrid w:val="0"/>
              <w:spacing w:line="440" w:lineRule="exact"/>
              <w:jc w:val="center"/>
              <w:rPr>
                <w:rFonts w:ascii="宋体" w:hAnsi="宋体" w:cs="宋体"/>
                <w:sz w:val="24"/>
                <w:highlight w:val="none"/>
              </w:rPr>
            </w:pPr>
          </w:p>
        </w:tc>
        <w:tc>
          <w:tcPr>
            <w:tcW w:w="4751" w:type="dxa"/>
          </w:tcPr>
          <w:p>
            <w:pPr>
              <w:shd w:val="clear"/>
              <w:snapToGrid w:val="0"/>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27" w:type="dxa"/>
          </w:tcPr>
          <w:p>
            <w:pPr>
              <w:shd w:val="clear"/>
              <w:snapToGrid w:val="0"/>
              <w:spacing w:line="440" w:lineRule="exact"/>
              <w:jc w:val="center"/>
              <w:rPr>
                <w:rFonts w:ascii="宋体" w:hAnsi="宋体" w:cs="宋体"/>
                <w:sz w:val="24"/>
                <w:highlight w:val="none"/>
              </w:rPr>
            </w:pPr>
          </w:p>
        </w:tc>
        <w:tc>
          <w:tcPr>
            <w:tcW w:w="5158" w:type="dxa"/>
          </w:tcPr>
          <w:p>
            <w:pPr>
              <w:shd w:val="clear"/>
              <w:snapToGrid w:val="0"/>
              <w:spacing w:line="440" w:lineRule="exact"/>
              <w:rPr>
                <w:rFonts w:ascii="宋体" w:hAnsi="宋体" w:cs="宋体"/>
                <w:sz w:val="24"/>
                <w:highlight w:val="none"/>
              </w:rPr>
            </w:pPr>
          </w:p>
        </w:tc>
        <w:tc>
          <w:tcPr>
            <w:tcW w:w="3004" w:type="dxa"/>
          </w:tcPr>
          <w:p>
            <w:pPr>
              <w:shd w:val="clear"/>
              <w:snapToGrid w:val="0"/>
              <w:spacing w:line="440" w:lineRule="exact"/>
              <w:jc w:val="center"/>
              <w:rPr>
                <w:rFonts w:ascii="宋体" w:hAnsi="宋体" w:cs="宋体"/>
                <w:sz w:val="24"/>
                <w:highlight w:val="none"/>
              </w:rPr>
            </w:pPr>
          </w:p>
        </w:tc>
        <w:tc>
          <w:tcPr>
            <w:tcW w:w="4751" w:type="dxa"/>
          </w:tcPr>
          <w:p>
            <w:pPr>
              <w:shd w:val="clear"/>
              <w:snapToGrid w:val="0"/>
              <w:spacing w:line="440" w:lineRule="exact"/>
              <w:rPr>
                <w:rFonts w:ascii="宋体" w:hAnsi="宋体" w:cs="宋体"/>
                <w:sz w:val="24"/>
                <w:highlight w:val="none"/>
              </w:rPr>
            </w:pPr>
          </w:p>
        </w:tc>
      </w:tr>
    </w:tbl>
    <w:p>
      <w:pPr>
        <w:shd w:val="clear"/>
        <w:spacing w:line="440" w:lineRule="exact"/>
        <w:rPr>
          <w:rFonts w:ascii="宋体" w:hAnsi="宋体" w:cs="宋体"/>
          <w:szCs w:val="21"/>
          <w:highlight w:val="none"/>
        </w:rPr>
      </w:pPr>
    </w:p>
    <w:p>
      <w:pPr>
        <w:shd w:val="clear"/>
        <w:spacing w:line="440" w:lineRule="exact"/>
        <w:rPr>
          <w:rFonts w:ascii="宋体" w:hAnsi="宋体" w:cs="宋体"/>
          <w:b/>
          <w:sz w:val="24"/>
          <w:szCs w:val="24"/>
          <w:highlight w:val="none"/>
        </w:rPr>
      </w:pPr>
      <w:r>
        <w:rPr>
          <w:rFonts w:hint="eastAsia" w:ascii="宋体" w:hAnsi="宋体" w:cs="宋体"/>
          <w:b/>
          <w:sz w:val="24"/>
          <w:szCs w:val="24"/>
          <w:highlight w:val="none"/>
        </w:rPr>
        <w:t>投标人（盖章）：</w:t>
      </w:r>
    </w:p>
    <w:p>
      <w:pPr>
        <w:shd w:val="clear"/>
        <w:spacing w:line="440" w:lineRule="exact"/>
        <w:rPr>
          <w:rFonts w:ascii="宋体" w:hAnsi="宋体" w:cs="宋体"/>
          <w:sz w:val="24"/>
          <w:szCs w:val="24"/>
          <w:highlight w:val="none"/>
        </w:rPr>
      </w:pPr>
    </w:p>
    <w:p>
      <w:pPr>
        <w:shd w:val="clear"/>
        <w:adjustRightInd w:val="0"/>
        <w:snapToGrid w:val="0"/>
        <w:spacing w:line="440" w:lineRule="exact"/>
        <w:rPr>
          <w:rFonts w:ascii="宋体" w:hAnsi="宋体" w:cs="宋体"/>
          <w:sz w:val="24"/>
          <w:szCs w:val="24"/>
          <w:highlight w:val="none"/>
          <w:u w:val="single"/>
        </w:rPr>
        <w:sectPr>
          <w:pgSz w:w="16838" w:h="11906" w:orient="landscape"/>
          <w:pgMar w:top="1418" w:right="1418" w:bottom="1361" w:left="1361" w:header="907" w:footer="907" w:gutter="0"/>
          <w:cols w:space="720" w:num="1"/>
          <w:docGrid w:type="linesAndChars" w:linePitch="286" w:charSpace="0"/>
        </w:sectPr>
      </w:pPr>
      <w:r>
        <w:rPr>
          <w:rFonts w:hint="eastAsia" w:ascii="宋体" w:hAnsi="宋体" w:cs="宋体"/>
          <w:b/>
          <w:sz w:val="24"/>
          <w:szCs w:val="24"/>
          <w:highlight w:val="none"/>
        </w:rPr>
        <w:t>投标代表签字</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outlineLvl w:val="1"/>
        <w:rPr>
          <w:rFonts w:ascii="宋体" w:hAnsi="宋体" w:cs="宋体"/>
          <w:b/>
          <w:bCs/>
          <w:sz w:val="28"/>
          <w:szCs w:val="28"/>
          <w:highlight w:val="none"/>
        </w:rPr>
        <w:sectPr>
          <w:pgSz w:w="11906" w:h="16838"/>
          <w:pgMar w:top="1418" w:right="1361" w:bottom="1361" w:left="1418" w:header="907" w:footer="907" w:gutter="0"/>
          <w:cols w:space="720" w:num="1"/>
          <w:docGrid w:type="linesAndChars" w:linePitch="286" w:charSpace="0"/>
        </w:sectPr>
      </w:pPr>
      <w:r>
        <w:rPr>
          <w:rFonts w:hint="eastAsia" w:ascii="宋体" w:hAnsi="宋体" w:cs="宋体"/>
          <w:b/>
          <w:bCs/>
          <w:sz w:val="28"/>
          <w:szCs w:val="28"/>
          <w:highlight w:val="none"/>
        </w:rPr>
        <w:t>5. 投标人应提交的其他材料</w:t>
      </w:r>
    </w:p>
    <w:p>
      <w:pPr>
        <w:shd w:val="clear"/>
        <w:spacing w:line="440" w:lineRule="exact"/>
        <w:jc w:val="center"/>
        <w:outlineLvl w:val="1"/>
        <w:rPr>
          <w:rFonts w:ascii="宋体" w:hAnsi="宋体" w:cs="宋体"/>
          <w:b/>
          <w:bCs/>
          <w:sz w:val="30"/>
          <w:highlight w:val="none"/>
        </w:rPr>
      </w:pPr>
      <w:r>
        <w:rPr>
          <w:rFonts w:hint="eastAsia" w:ascii="宋体" w:hAnsi="宋体" w:cs="宋体"/>
          <w:b/>
          <w:bCs/>
          <w:sz w:val="28"/>
          <w:szCs w:val="28"/>
          <w:highlight w:val="none"/>
        </w:rPr>
        <w:t>6.技术规格偏离</w:t>
      </w:r>
      <w:r>
        <w:rPr>
          <w:rFonts w:hint="eastAsia" w:ascii="宋体" w:hAnsi="宋体" w:cs="宋体"/>
          <w:b/>
          <w:bCs/>
          <w:sz w:val="30"/>
          <w:highlight w:val="none"/>
        </w:rPr>
        <w:t>表</w:t>
      </w:r>
    </w:p>
    <w:p>
      <w:pPr>
        <w:shd w:val="clear"/>
        <w:spacing w:line="440" w:lineRule="exact"/>
        <w:ind w:left="3" w:leftChars="-50" w:hanging="103" w:hangingChars="43"/>
        <w:rPr>
          <w:rFonts w:ascii="宋体" w:hAnsi="宋体" w:cs="宋体"/>
          <w:sz w:val="24"/>
          <w:highlight w:val="none"/>
        </w:rPr>
      </w:pPr>
    </w:p>
    <w:p>
      <w:pPr>
        <w:shd w:val="clear"/>
        <w:spacing w:line="440" w:lineRule="exact"/>
        <w:ind w:left="-2" w:leftChars="-1"/>
        <w:rPr>
          <w:rFonts w:ascii="宋体" w:hAnsi="宋体" w:cs="宋体"/>
          <w:sz w:val="24"/>
          <w:highlight w:val="none"/>
        </w:rPr>
      </w:pPr>
      <w:r>
        <w:rPr>
          <w:rFonts w:hint="eastAsia" w:ascii="宋体" w:hAnsi="宋体" w:cs="宋体"/>
          <w:sz w:val="24"/>
          <w:highlight w:val="none"/>
        </w:rPr>
        <w:t>投标人名称：</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hd w:val="clear"/>
        <w:spacing w:line="440" w:lineRule="exact"/>
        <w:rPr>
          <w:rFonts w:ascii="宋体" w:hAnsi="宋体" w:cs="宋体"/>
          <w:sz w:val="24"/>
          <w:highlight w:val="none"/>
        </w:rPr>
      </w:pPr>
      <w:r>
        <w:rPr>
          <w:rFonts w:hint="eastAsia" w:ascii="宋体" w:hAnsi="宋体" w:cs="宋体"/>
          <w:sz w:val="24"/>
          <w:highlight w:val="none"/>
        </w:rPr>
        <w:t>招标编号：</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hd w:val="clear"/>
        <w:spacing w:line="440" w:lineRule="exact"/>
        <w:rPr>
          <w:rFonts w:ascii="宋体" w:hAnsi="宋体" w:cs="宋体"/>
          <w:sz w:val="24"/>
          <w:highlight w:val="none"/>
        </w:r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881"/>
        <w:gridCol w:w="1398"/>
        <w:gridCol w:w="1491"/>
        <w:gridCol w:w="1490"/>
        <w:gridCol w:w="101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15"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序号</w:t>
            </w:r>
          </w:p>
        </w:tc>
        <w:tc>
          <w:tcPr>
            <w:tcW w:w="1881"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项目名称</w:t>
            </w:r>
          </w:p>
        </w:tc>
        <w:tc>
          <w:tcPr>
            <w:tcW w:w="1398"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招标文件条目号</w:t>
            </w:r>
          </w:p>
        </w:tc>
        <w:tc>
          <w:tcPr>
            <w:tcW w:w="1491"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招标规格</w:t>
            </w:r>
          </w:p>
        </w:tc>
        <w:tc>
          <w:tcPr>
            <w:tcW w:w="1490"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投标规格</w:t>
            </w:r>
          </w:p>
        </w:tc>
        <w:tc>
          <w:tcPr>
            <w:tcW w:w="1016"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偏离</w:t>
            </w:r>
          </w:p>
        </w:tc>
        <w:tc>
          <w:tcPr>
            <w:tcW w:w="1349"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15" w:type="dxa"/>
          </w:tcPr>
          <w:p>
            <w:pPr>
              <w:shd w:val="clear"/>
              <w:spacing w:line="440" w:lineRule="exact"/>
              <w:rPr>
                <w:rFonts w:ascii="宋体" w:hAnsi="宋体" w:cs="宋体"/>
                <w:sz w:val="24"/>
                <w:highlight w:val="none"/>
              </w:rPr>
            </w:pPr>
          </w:p>
        </w:tc>
        <w:tc>
          <w:tcPr>
            <w:tcW w:w="1881" w:type="dxa"/>
          </w:tcPr>
          <w:p>
            <w:pPr>
              <w:shd w:val="clear"/>
              <w:spacing w:line="440" w:lineRule="exact"/>
              <w:rPr>
                <w:rFonts w:ascii="宋体" w:hAnsi="宋体" w:cs="宋体"/>
                <w:sz w:val="24"/>
                <w:highlight w:val="none"/>
              </w:rPr>
            </w:pPr>
          </w:p>
        </w:tc>
        <w:tc>
          <w:tcPr>
            <w:tcW w:w="1398" w:type="dxa"/>
          </w:tcPr>
          <w:p>
            <w:pPr>
              <w:shd w:val="clear"/>
              <w:spacing w:line="440" w:lineRule="exact"/>
              <w:rPr>
                <w:rFonts w:ascii="宋体" w:hAnsi="宋体" w:cs="宋体"/>
                <w:sz w:val="24"/>
                <w:highlight w:val="none"/>
              </w:rPr>
            </w:pPr>
          </w:p>
        </w:tc>
        <w:tc>
          <w:tcPr>
            <w:tcW w:w="1491" w:type="dxa"/>
          </w:tcPr>
          <w:p>
            <w:pPr>
              <w:shd w:val="clear"/>
              <w:spacing w:line="440" w:lineRule="exact"/>
              <w:rPr>
                <w:rFonts w:ascii="宋体" w:hAnsi="宋体" w:cs="宋体"/>
                <w:sz w:val="24"/>
                <w:highlight w:val="none"/>
              </w:rPr>
            </w:pPr>
          </w:p>
        </w:tc>
        <w:tc>
          <w:tcPr>
            <w:tcW w:w="1490" w:type="dxa"/>
          </w:tcPr>
          <w:p>
            <w:pPr>
              <w:shd w:val="clear"/>
              <w:spacing w:line="440" w:lineRule="exact"/>
              <w:rPr>
                <w:rFonts w:ascii="宋体" w:hAnsi="宋体" w:cs="宋体"/>
                <w:sz w:val="24"/>
                <w:highlight w:val="none"/>
              </w:rPr>
            </w:pPr>
          </w:p>
        </w:tc>
        <w:tc>
          <w:tcPr>
            <w:tcW w:w="1016" w:type="dxa"/>
          </w:tcPr>
          <w:p>
            <w:pPr>
              <w:shd w:val="clear"/>
              <w:spacing w:line="440" w:lineRule="exact"/>
              <w:rPr>
                <w:rFonts w:ascii="宋体" w:hAnsi="宋体" w:cs="宋体"/>
                <w:sz w:val="24"/>
                <w:highlight w:val="none"/>
              </w:rPr>
            </w:pPr>
          </w:p>
        </w:tc>
        <w:tc>
          <w:tcPr>
            <w:tcW w:w="1349" w:type="dxa"/>
          </w:tcPr>
          <w:p>
            <w:pPr>
              <w:shd w:val="clear"/>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15" w:type="dxa"/>
          </w:tcPr>
          <w:p>
            <w:pPr>
              <w:shd w:val="clear"/>
              <w:spacing w:line="440" w:lineRule="exact"/>
              <w:rPr>
                <w:rFonts w:ascii="宋体" w:hAnsi="宋体" w:cs="宋体"/>
                <w:sz w:val="24"/>
                <w:highlight w:val="none"/>
              </w:rPr>
            </w:pPr>
          </w:p>
        </w:tc>
        <w:tc>
          <w:tcPr>
            <w:tcW w:w="1881" w:type="dxa"/>
          </w:tcPr>
          <w:p>
            <w:pPr>
              <w:shd w:val="clear"/>
              <w:spacing w:line="440" w:lineRule="exact"/>
              <w:rPr>
                <w:rFonts w:ascii="宋体" w:hAnsi="宋体" w:cs="宋体"/>
                <w:sz w:val="24"/>
                <w:highlight w:val="none"/>
              </w:rPr>
            </w:pPr>
          </w:p>
        </w:tc>
        <w:tc>
          <w:tcPr>
            <w:tcW w:w="1398" w:type="dxa"/>
          </w:tcPr>
          <w:p>
            <w:pPr>
              <w:shd w:val="clear"/>
              <w:spacing w:line="440" w:lineRule="exact"/>
              <w:rPr>
                <w:rFonts w:ascii="宋体" w:hAnsi="宋体" w:cs="宋体"/>
                <w:sz w:val="24"/>
                <w:highlight w:val="none"/>
              </w:rPr>
            </w:pPr>
          </w:p>
        </w:tc>
        <w:tc>
          <w:tcPr>
            <w:tcW w:w="1491" w:type="dxa"/>
          </w:tcPr>
          <w:p>
            <w:pPr>
              <w:shd w:val="clear"/>
              <w:spacing w:line="440" w:lineRule="exact"/>
              <w:rPr>
                <w:rFonts w:ascii="宋体" w:hAnsi="宋体" w:cs="宋体"/>
                <w:sz w:val="24"/>
                <w:highlight w:val="none"/>
              </w:rPr>
            </w:pPr>
          </w:p>
        </w:tc>
        <w:tc>
          <w:tcPr>
            <w:tcW w:w="1490" w:type="dxa"/>
          </w:tcPr>
          <w:p>
            <w:pPr>
              <w:shd w:val="clear"/>
              <w:spacing w:line="440" w:lineRule="exact"/>
              <w:rPr>
                <w:rFonts w:ascii="宋体" w:hAnsi="宋体" w:cs="宋体"/>
                <w:sz w:val="24"/>
                <w:highlight w:val="none"/>
              </w:rPr>
            </w:pPr>
          </w:p>
        </w:tc>
        <w:tc>
          <w:tcPr>
            <w:tcW w:w="1016" w:type="dxa"/>
          </w:tcPr>
          <w:p>
            <w:pPr>
              <w:shd w:val="clear"/>
              <w:spacing w:line="440" w:lineRule="exact"/>
              <w:rPr>
                <w:rFonts w:ascii="宋体" w:hAnsi="宋体" w:cs="宋体"/>
                <w:sz w:val="24"/>
                <w:highlight w:val="none"/>
              </w:rPr>
            </w:pPr>
          </w:p>
        </w:tc>
        <w:tc>
          <w:tcPr>
            <w:tcW w:w="1349" w:type="dxa"/>
          </w:tcPr>
          <w:p>
            <w:pPr>
              <w:shd w:val="clear"/>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15" w:type="dxa"/>
          </w:tcPr>
          <w:p>
            <w:pPr>
              <w:shd w:val="clear"/>
              <w:spacing w:line="440" w:lineRule="exact"/>
              <w:rPr>
                <w:rFonts w:ascii="宋体" w:hAnsi="宋体" w:cs="宋体"/>
                <w:sz w:val="24"/>
                <w:highlight w:val="none"/>
              </w:rPr>
            </w:pPr>
          </w:p>
        </w:tc>
        <w:tc>
          <w:tcPr>
            <w:tcW w:w="1881" w:type="dxa"/>
          </w:tcPr>
          <w:p>
            <w:pPr>
              <w:shd w:val="clear"/>
              <w:spacing w:line="440" w:lineRule="exact"/>
              <w:rPr>
                <w:rFonts w:ascii="宋体" w:hAnsi="宋体" w:cs="宋体"/>
                <w:sz w:val="24"/>
                <w:highlight w:val="none"/>
              </w:rPr>
            </w:pPr>
          </w:p>
        </w:tc>
        <w:tc>
          <w:tcPr>
            <w:tcW w:w="1398" w:type="dxa"/>
          </w:tcPr>
          <w:p>
            <w:pPr>
              <w:shd w:val="clear"/>
              <w:spacing w:line="440" w:lineRule="exact"/>
              <w:rPr>
                <w:rFonts w:ascii="宋体" w:hAnsi="宋体" w:cs="宋体"/>
                <w:sz w:val="24"/>
                <w:highlight w:val="none"/>
              </w:rPr>
            </w:pPr>
          </w:p>
        </w:tc>
        <w:tc>
          <w:tcPr>
            <w:tcW w:w="1491" w:type="dxa"/>
          </w:tcPr>
          <w:p>
            <w:pPr>
              <w:shd w:val="clear"/>
              <w:spacing w:line="440" w:lineRule="exact"/>
              <w:rPr>
                <w:rFonts w:ascii="宋体" w:hAnsi="宋体" w:cs="宋体"/>
                <w:sz w:val="24"/>
                <w:highlight w:val="none"/>
              </w:rPr>
            </w:pPr>
          </w:p>
        </w:tc>
        <w:tc>
          <w:tcPr>
            <w:tcW w:w="1490" w:type="dxa"/>
          </w:tcPr>
          <w:p>
            <w:pPr>
              <w:shd w:val="clear"/>
              <w:spacing w:line="440" w:lineRule="exact"/>
              <w:rPr>
                <w:rFonts w:ascii="宋体" w:hAnsi="宋体" w:cs="宋体"/>
                <w:sz w:val="24"/>
                <w:highlight w:val="none"/>
              </w:rPr>
            </w:pPr>
          </w:p>
        </w:tc>
        <w:tc>
          <w:tcPr>
            <w:tcW w:w="1016" w:type="dxa"/>
          </w:tcPr>
          <w:p>
            <w:pPr>
              <w:shd w:val="clear"/>
              <w:spacing w:line="440" w:lineRule="exact"/>
              <w:rPr>
                <w:rFonts w:ascii="宋体" w:hAnsi="宋体" w:cs="宋体"/>
                <w:sz w:val="24"/>
                <w:highlight w:val="none"/>
              </w:rPr>
            </w:pPr>
          </w:p>
        </w:tc>
        <w:tc>
          <w:tcPr>
            <w:tcW w:w="1349" w:type="dxa"/>
          </w:tcPr>
          <w:p>
            <w:pPr>
              <w:shd w:val="clear"/>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15" w:type="dxa"/>
          </w:tcPr>
          <w:p>
            <w:pPr>
              <w:shd w:val="clear"/>
              <w:spacing w:line="440" w:lineRule="exact"/>
              <w:rPr>
                <w:rFonts w:ascii="宋体" w:hAnsi="宋体" w:cs="宋体"/>
                <w:sz w:val="24"/>
                <w:highlight w:val="none"/>
              </w:rPr>
            </w:pPr>
          </w:p>
        </w:tc>
        <w:tc>
          <w:tcPr>
            <w:tcW w:w="1881" w:type="dxa"/>
          </w:tcPr>
          <w:p>
            <w:pPr>
              <w:shd w:val="clear"/>
              <w:spacing w:line="440" w:lineRule="exact"/>
              <w:rPr>
                <w:rFonts w:ascii="宋体" w:hAnsi="宋体" w:cs="宋体"/>
                <w:sz w:val="24"/>
                <w:highlight w:val="none"/>
              </w:rPr>
            </w:pPr>
          </w:p>
        </w:tc>
        <w:tc>
          <w:tcPr>
            <w:tcW w:w="1398" w:type="dxa"/>
          </w:tcPr>
          <w:p>
            <w:pPr>
              <w:shd w:val="clear"/>
              <w:spacing w:line="440" w:lineRule="exact"/>
              <w:rPr>
                <w:rFonts w:ascii="宋体" w:hAnsi="宋体" w:cs="宋体"/>
                <w:sz w:val="24"/>
                <w:highlight w:val="none"/>
              </w:rPr>
            </w:pPr>
          </w:p>
        </w:tc>
        <w:tc>
          <w:tcPr>
            <w:tcW w:w="1491" w:type="dxa"/>
          </w:tcPr>
          <w:p>
            <w:pPr>
              <w:shd w:val="clear"/>
              <w:spacing w:line="440" w:lineRule="exact"/>
              <w:rPr>
                <w:rFonts w:ascii="宋体" w:hAnsi="宋体" w:cs="宋体"/>
                <w:sz w:val="24"/>
                <w:highlight w:val="none"/>
              </w:rPr>
            </w:pPr>
          </w:p>
        </w:tc>
        <w:tc>
          <w:tcPr>
            <w:tcW w:w="1490" w:type="dxa"/>
          </w:tcPr>
          <w:p>
            <w:pPr>
              <w:shd w:val="clear"/>
              <w:spacing w:line="440" w:lineRule="exact"/>
              <w:rPr>
                <w:rFonts w:ascii="宋体" w:hAnsi="宋体" w:cs="宋体"/>
                <w:sz w:val="24"/>
                <w:highlight w:val="none"/>
              </w:rPr>
            </w:pPr>
          </w:p>
        </w:tc>
        <w:tc>
          <w:tcPr>
            <w:tcW w:w="1016" w:type="dxa"/>
          </w:tcPr>
          <w:p>
            <w:pPr>
              <w:shd w:val="clear"/>
              <w:spacing w:line="440" w:lineRule="exact"/>
              <w:rPr>
                <w:rFonts w:ascii="宋体" w:hAnsi="宋体" w:cs="宋体"/>
                <w:sz w:val="24"/>
                <w:highlight w:val="none"/>
              </w:rPr>
            </w:pPr>
          </w:p>
        </w:tc>
        <w:tc>
          <w:tcPr>
            <w:tcW w:w="1349" w:type="dxa"/>
          </w:tcPr>
          <w:p>
            <w:pPr>
              <w:shd w:val="clear"/>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15" w:type="dxa"/>
          </w:tcPr>
          <w:p>
            <w:pPr>
              <w:shd w:val="clear"/>
              <w:spacing w:line="440" w:lineRule="exact"/>
              <w:rPr>
                <w:rFonts w:ascii="宋体" w:hAnsi="宋体" w:cs="宋体"/>
                <w:sz w:val="24"/>
                <w:highlight w:val="none"/>
              </w:rPr>
            </w:pPr>
          </w:p>
        </w:tc>
        <w:tc>
          <w:tcPr>
            <w:tcW w:w="1881" w:type="dxa"/>
          </w:tcPr>
          <w:p>
            <w:pPr>
              <w:shd w:val="clear"/>
              <w:spacing w:line="440" w:lineRule="exact"/>
              <w:rPr>
                <w:rFonts w:ascii="宋体" w:hAnsi="宋体" w:cs="宋体"/>
                <w:sz w:val="24"/>
                <w:highlight w:val="none"/>
              </w:rPr>
            </w:pPr>
          </w:p>
        </w:tc>
        <w:tc>
          <w:tcPr>
            <w:tcW w:w="1398" w:type="dxa"/>
          </w:tcPr>
          <w:p>
            <w:pPr>
              <w:shd w:val="clear"/>
              <w:spacing w:line="440" w:lineRule="exact"/>
              <w:rPr>
                <w:rFonts w:ascii="宋体" w:hAnsi="宋体" w:cs="宋体"/>
                <w:sz w:val="24"/>
                <w:highlight w:val="none"/>
              </w:rPr>
            </w:pPr>
          </w:p>
        </w:tc>
        <w:tc>
          <w:tcPr>
            <w:tcW w:w="1491" w:type="dxa"/>
          </w:tcPr>
          <w:p>
            <w:pPr>
              <w:shd w:val="clear"/>
              <w:spacing w:line="440" w:lineRule="exact"/>
              <w:rPr>
                <w:rFonts w:ascii="宋体" w:hAnsi="宋体" w:cs="宋体"/>
                <w:sz w:val="24"/>
                <w:highlight w:val="none"/>
              </w:rPr>
            </w:pPr>
          </w:p>
        </w:tc>
        <w:tc>
          <w:tcPr>
            <w:tcW w:w="1490" w:type="dxa"/>
          </w:tcPr>
          <w:p>
            <w:pPr>
              <w:shd w:val="clear"/>
              <w:spacing w:line="440" w:lineRule="exact"/>
              <w:rPr>
                <w:rFonts w:ascii="宋体" w:hAnsi="宋体" w:cs="宋体"/>
                <w:sz w:val="24"/>
                <w:highlight w:val="none"/>
              </w:rPr>
            </w:pPr>
          </w:p>
        </w:tc>
        <w:tc>
          <w:tcPr>
            <w:tcW w:w="1016" w:type="dxa"/>
          </w:tcPr>
          <w:p>
            <w:pPr>
              <w:shd w:val="clear"/>
              <w:spacing w:line="440" w:lineRule="exact"/>
              <w:rPr>
                <w:rFonts w:ascii="宋体" w:hAnsi="宋体" w:cs="宋体"/>
                <w:sz w:val="24"/>
                <w:highlight w:val="none"/>
              </w:rPr>
            </w:pPr>
          </w:p>
        </w:tc>
        <w:tc>
          <w:tcPr>
            <w:tcW w:w="1349" w:type="dxa"/>
          </w:tcPr>
          <w:p>
            <w:pPr>
              <w:shd w:val="clear"/>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15" w:type="dxa"/>
          </w:tcPr>
          <w:p>
            <w:pPr>
              <w:shd w:val="clear"/>
              <w:spacing w:line="440" w:lineRule="exact"/>
              <w:rPr>
                <w:rFonts w:ascii="宋体" w:hAnsi="宋体" w:cs="宋体"/>
                <w:sz w:val="24"/>
                <w:highlight w:val="none"/>
              </w:rPr>
            </w:pPr>
          </w:p>
        </w:tc>
        <w:tc>
          <w:tcPr>
            <w:tcW w:w="1881" w:type="dxa"/>
          </w:tcPr>
          <w:p>
            <w:pPr>
              <w:shd w:val="clear"/>
              <w:spacing w:line="440" w:lineRule="exact"/>
              <w:rPr>
                <w:rFonts w:ascii="宋体" w:hAnsi="宋体" w:cs="宋体"/>
                <w:sz w:val="24"/>
                <w:highlight w:val="none"/>
              </w:rPr>
            </w:pPr>
          </w:p>
        </w:tc>
        <w:tc>
          <w:tcPr>
            <w:tcW w:w="1398" w:type="dxa"/>
          </w:tcPr>
          <w:p>
            <w:pPr>
              <w:shd w:val="clear"/>
              <w:spacing w:line="440" w:lineRule="exact"/>
              <w:rPr>
                <w:rFonts w:ascii="宋体" w:hAnsi="宋体" w:cs="宋体"/>
                <w:sz w:val="24"/>
                <w:highlight w:val="none"/>
              </w:rPr>
            </w:pPr>
          </w:p>
        </w:tc>
        <w:tc>
          <w:tcPr>
            <w:tcW w:w="1491" w:type="dxa"/>
          </w:tcPr>
          <w:p>
            <w:pPr>
              <w:shd w:val="clear"/>
              <w:spacing w:line="440" w:lineRule="exact"/>
              <w:rPr>
                <w:rFonts w:ascii="宋体" w:hAnsi="宋体" w:cs="宋体"/>
                <w:sz w:val="24"/>
                <w:highlight w:val="none"/>
              </w:rPr>
            </w:pPr>
          </w:p>
        </w:tc>
        <w:tc>
          <w:tcPr>
            <w:tcW w:w="1490" w:type="dxa"/>
          </w:tcPr>
          <w:p>
            <w:pPr>
              <w:shd w:val="clear"/>
              <w:spacing w:line="440" w:lineRule="exact"/>
              <w:rPr>
                <w:rFonts w:ascii="宋体" w:hAnsi="宋体" w:cs="宋体"/>
                <w:sz w:val="24"/>
                <w:highlight w:val="none"/>
              </w:rPr>
            </w:pPr>
          </w:p>
        </w:tc>
        <w:tc>
          <w:tcPr>
            <w:tcW w:w="1016" w:type="dxa"/>
          </w:tcPr>
          <w:p>
            <w:pPr>
              <w:shd w:val="clear"/>
              <w:spacing w:line="440" w:lineRule="exact"/>
              <w:rPr>
                <w:rFonts w:ascii="宋体" w:hAnsi="宋体" w:cs="宋体"/>
                <w:sz w:val="24"/>
                <w:highlight w:val="none"/>
              </w:rPr>
            </w:pPr>
          </w:p>
        </w:tc>
        <w:tc>
          <w:tcPr>
            <w:tcW w:w="1349" w:type="dxa"/>
          </w:tcPr>
          <w:p>
            <w:pPr>
              <w:shd w:val="clear"/>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15" w:type="dxa"/>
          </w:tcPr>
          <w:p>
            <w:pPr>
              <w:shd w:val="clear"/>
              <w:spacing w:line="440" w:lineRule="exact"/>
              <w:rPr>
                <w:rFonts w:ascii="宋体" w:hAnsi="宋体" w:cs="宋体"/>
                <w:sz w:val="24"/>
                <w:highlight w:val="none"/>
              </w:rPr>
            </w:pPr>
          </w:p>
        </w:tc>
        <w:tc>
          <w:tcPr>
            <w:tcW w:w="1881" w:type="dxa"/>
          </w:tcPr>
          <w:p>
            <w:pPr>
              <w:shd w:val="clear"/>
              <w:spacing w:line="440" w:lineRule="exact"/>
              <w:rPr>
                <w:rFonts w:ascii="宋体" w:hAnsi="宋体" w:cs="宋体"/>
                <w:sz w:val="24"/>
                <w:highlight w:val="none"/>
              </w:rPr>
            </w:pPr>
          </w:p>
        </w:tc>
        <w:tc>
          <w:tcPr>
            <w:tcW w:w="1398" w:type="dxa"/>
          </w:tcPr>
          <w:p>
            <w:pPr>
              <w:shd w:val="clear"/>
              <w:spacing w:line="440" w:lineRule="exact"/>
              <w:rPr>
                <w:rFonts w:ascii="宋体" w:hAnsi="宋体" w:cs="宋体"/>
                <w:sz w:val="24"/>
                <w:highlight w:val="none"/>
              </w:rPr>
            </w:pPr>
          </w:p>
        </w:tc>
        <w:tc>
          <w:tcPr>
            <w:tcW w:w="1491" w:type="dxa"/>
          </w:tcPr>
          <w:p>
            <w:pPr>
              <w:shd w:val="clear"/>
              <w:spacing w:line="440" w:lineRule="exact"/>
              <w:rPr>
                <w:rFonts w:ascii="宋体" w:hAnsi="宋体" w:cs="宋体"/>
                <w:sz w:val="24"/>
                <w:highlight w:val="none"/>
              </w:rPr>
            </w:pPr>
          </w:p>
        </w:tc>
        <w:tc>
          <w:tcPr>
            <w:tcW w:w="1490" w:type="dxa"/>
          </w:tcPr>
          <w:p>
            <w:pPr>
              <w:shd w:val="clear"/>
              <w:spacing w:line="440" w:lineRule="exact"/>
              <w:rPr>
                <w:rFonts w:ascii="宋体" w:hAnsi="宋体" w:cs="宋体"/>
                <w:sz w:val="24"/>
                <w:highlight w:val="none"/>
              </w:rPr>
            </w:pPr>
          </w:p>
        </w:tc>
        <w:tc>
          <w:tcPr>
            <w:tcW w:w="1016" w:type="dxa"/>
          </w:tcPr>
          <w:p>
            <w:pPr>
              <w:shd w:val="clear"/>
              <w:spacing w:line="440" w:lineRule="exact"/>
              <w:rPr>
                <w:rFonts w:ascii="宋体" w:hAnsi="宋体" w:cs="宋体"/>
                <w:sz w:val="24"/>
                <w:highlight w:val="none"/>
              </w:rPr>
            </w:pPr>
          </w:p>
        </w:tc>
        <w:tc>
          <w:tcPr>
            <w:tcW w:w="1349" w:type="dxa"/>
          </w:tcPr>
          <w:p>
            <w:pPr>
              <w:shd w:val="clear"/>
              <w:spacing w:line="440" w:lineRule="exact"/>
              <w:rPr>
                <w:rFonts w:ascii="宋体" w:hAnsi="宋体" w:cs="宋体"/>
                <w:sz w:val="24"/>
                <w:highlight w:val="none"/>
              </w:rPr>
            </w:pPr>
          </w:p>
        </w:tc>
      </w:tr>
    </w:tbl>
    <w:p>
      <w:pPr>
        <w:shd w:val="clear"/>
        <w:spacing w:line="440" w:lineRule="exact"/>
        <w:rPr>
          <w:rFonts w:ascii="宋体" w:hAnsi="宋体" w:cs="宋体"/>
          <w:sz w:val="28"/>
          <w:highlight w:val="none"/>
        </w:rPr>
      </w:pPr>
      <w:r>
        <w:rPr>
          <w:rFonts w:hint="eastAsia" w:ascii="宋体" w:hAnsi="宋体" w:cs="宋体"/>
          <w:sz w:val="28"/>
          <w:highlight w:val="none"/>
        </w:rPr>
        <w:t>注：招、投标规格按图纸及有关规范标准。</w:t>
      </w:r>
    </w:p>
    <w:p>
      <w:pPr>
        <w:shd w:val="clear"/>
        <w:spacing w:line="440" w:lineRule="exact"/>
        <w:rPr>
          <w:rFonts w:ascii="宋体" w:hAnsi="宋体" w:cs="宋体"/>
          <w:b/>
          <w:bCs/>
          <w:sz w:val="30"/>
          <w:highlight w:val="none"/>
        </w:rPr>
      </w:pPr>
      <w:r>
        <w:rPr>
          <w:rFonts w:hint="eastAsia" w:ascii="宋体" w:hAnsi="宋体" w:cs="宋体"/>
          <w:b/>
          <w:bCs/>
          <w:sz w:val="30"/>
          <w:highlight w:val="none"/>
        </w:rPr>
        <w:t xml:space="preserve"> </w:t>
      </w:r>
    </w:p>
    <w:p>
      <w:pPr>
        <w:shd w:val="clear"/>
        <w:spacing w:line="440" w:lineRule="exact"/>
        <w:rPr>
          <w:rFonts w:ascii="宋体" w:hAnsi="宋体" w:cs="宋体"/>
          <w:b/>
          <w:bCs/>
          <w:sz w:val="24"/>
          <w:szCs w:val="24"/>
          <w:highlight w:val="none"/>
        </w:rPr>
      </w:pPr>
      <w:r>
        <w:rPr>
          <w:rFonts w:hint="eastAsia" w:ascii="宋体" w:hAnsi="宋体" w:cs="宋体"/>
          <w:b/>
          <w:bCs/>
          <w:sz w:val="24"/>
          <w:szCs w:val="24"/>
          <w:highlight w:val="none"/>
        </w:rPr>
        <w:t>投标人（盖章）：</w:t>
      </w:r>
    </w:p>
    <w:p>
      <w:pPr>
        <w:shd w:val="clear"/>
        <w:spacing w:line="440" w:lineRule="exact"/>
        <w:rPr>
          <w:rFonts w:ascii="宋体" w:hAnsi="宋体" w:cs="宋体"/>
          <w:b/>
          <w:bCs/>
          <w:sz w:val="24"/>
          <w:szCs w:val="24"/>
          <w:highlight w:val="none"/>
        </w:rPr>
      </w:pPr>
    </w:p>
    <w:p>
      <w:pPr>
        <w:shd w:val="clear"/>
        <w:spacing w:line="440" w:lineRule="exact"/>
        <w:rPr>
          <w:rFonts w:ascii="宋体" w:hAnsi="宋体" w:cs="宋体"/>
          <w:b/>
          <w:bCs/>
          <w:sz w:val="30"/>
          <w:highlight w:val="none"/>
        </w:rPr>
      </w:pPr>
      <w:r>
        <w:rPr>
          <w:rFonts w:hint="eastAsia" w:ascii="宋体" w:hAnsi="宋体" w:cs="宋体"/>
          <w:b/>
          <w:bCs/>
          <w:sz w:val="24"/>
          <w:szCs w:val="24"/>
          <w:highlight w:val="none"/>
        </w:rPr>
        <w:t>投标人代表签字：</w:t>
      </w:r>
      <w:r>
        <w:rPr>
          <w:rFonts w:hint="eastAsia" w:ascii="宋体" w:hAnsi="宋体" w:cs="宋体"/>
          <w:b/>
          <w:bCs/>
          <w:sz w:val="24"/>
          <w:szCs w:val="24"/>
          <w:highlight w:val="none"/>
          <w:u w:val="single"/>
        </w:rPr>
        <w:t xml:space="preserve">                      </w:t>
      </w:r>
      <w:r>
        <w:rPr>
          <w:rFonts w:hint="eastAsia" w:ascii="宋体" w:hAnsi="宋体" w:cs="宋体"/>
          <w:b/>
          <w:bCs/>
          <w:sz w:val="24"/>
          <w:szCs w:val="24"/>
          <w:highlight w:val="none"/>
        </w:rPr>
        <w:t xml:space="preserve"> </w:t>
      </w:r>
      <w:r>
        <w:rPr>
          <w:rFonts w:hint="eastAsia" w:ascii="宋体" w:hAnsi="宋体" w:cs="宋体"/>
          <w:b/>
          <w:bCs/>
          <w:sz w:val="30"/>
          <w:highlight w:val="none"/>
        </w:rPr>
        <w:t xml:space="preserve">                      </w:t>
      </w:r>
    </w:p>
    <w:p>
      <w:pPr>
        <w:shd w:val="clear"/>
        <w:spacing w:line="440" w:lineRule="exact"/>
        <w:rPr>
          <w:rFonts w:ascii="宋体" w:hAnsi="宋体" w:cs="宋体"/>
          <w:b/>
          <w:bCs/>
          <w:sz w:val="30"/>
          <w:highlight w:val="none"/>
        </w:rPr>
      </w:pPr>
    </w:p>
    <w:p>
      <w:pPr>
        <w:shd w:val="clear"/>
        <w:spacing w:line="440" w:lineRule="exact"/>
        <w:jc w:val="center"/>
        <w:outlineLvl w:val="1"/>
        <w:rPr>
          <w:rFonts w:ascii="宋体" w:hAnsi="宋体" w:cs="宋体"/>
          <w:b/>
          <w:bCs/>
          <w:sz w:val="30"/>
          <w:highlight w:val="none"/>
        </w:rPr>
      </w:pPr>
      <w:r>
        <w:rPr>
          <w:rFonts w:hint="eastAsia" w:ascii="宋体" w:hAnsi="宋体" w:cs="宋体"/>
          <w:kern w:val="44"/>
          <w:highlight w:val="none"/>
        </w:rPr>
        <w:br w:type="page"/>
      </w:r>
      <w:r>
        <w:rPr>
          <w:rFonts w:hint="eastAsia" w:ascii="宋体" w:hAnsi="宋体" w:cs="宋体"/>
          <w:b/>
          <w:bCs/>
          <w:sz w:val="28"/>
          <w:szCs w:val="28"/>
          <w:highlight w:val="none"/>
        </w:rPr>
        <w:t>7.商务条款偏离表</w:t>
      </w:r>
    </w:p>
    <w:p>
      <w:pPr>
        <w:shd w:val="clear"/>
        <w:spacing w:line="440" w:lineRule="exact"/>
        <w:jc w:val="center"/>
        <w:rPr>
          <w:rFonts w:ascii="宋体" w:hAnsi="宋体" w:cs="宋体"/>
          <w:b/>
          <w:bCs/>
          <w:sz w:val="30"/>
          <w:highlight w:val="none"/>
        </w:rPr>
      </w:pPr>
    </w:p>
    <w:p>
      <w:pPr>
        <w:shd w:val="clear"/>
        <w:spacing w:line="440" w:lineRule="exact"/>
        <w:rPr>
          <w:rFonts w:ascii="宋体" w:hAnsi="宋体" w:cs="宋体"/>
          <w:sz w:val="24"/>
          <w:highlight w:val="none"/>
        </w:rPr>
      </w:pPr>
      <w:r>
        <w:rPr>
          <w:rFonts w:hint="eastAsia" w:ascii="宋体" w:hAnsi="宋体" w:cs="宋体"/>
          <w:sz w:val="24"/>
          <w:highlight w:val="none"/>
        </w:rPr>
        <w:t xml:space="preserve">投标人名称：               </w:t>
      </w:r>
    </w:p>
    <w:p>
      <w:pPr>
        <w:shd w:val="clear"/>
        <w:spacing w:line="440" w:lineRule="exact"/>
        <w:rPr>
          <w:rFonts w:ascii="宋体" w:hAnsi="宋体" w:cs="宋体"/>
          <w:sz w:val="24"/>
          <w:highlight w:val="none"/>
        </w:rPr>
      </w:pPr>
      <w:r>
        <w:rPr>
          <w:rFonts w:hint="eastAsia" w:ascii="宋体" w:hAnsi="宋体" w:cs="宋体"/>
          <w:sz w:val="24"/>
          <w:highlight w:val="none"/>
        </w:rPr>
        <w:t>招标编号：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974"/>
        <w:gridCol w:w="2457"/>
        <w:gridCol w:w="2457"/>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34"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序号</w:t>
            </w:r>
          </w:p>
        </w:tc>
        <w:tc>
          <w:tcPr>
            <w:tcW w:w="1974"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招标文件条目号</w:t>
            </w:r>
          </w:p>
        </w:tc>
        <w:tc>
          <w:tcPr>
            <w:tcW w:w="2457"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招标文件的商务条款</w:t>
            </w:r>
          </w:p>
        </w:tc>
        <w:tc>
          <w:tcPr>
            <w:tcW w:w="2457"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投标文件的商务条款</w:t>
            </w:r>
          </w:p>
        </w:tc>
        <w:tc>
          <w:tcPr>
            <w:tcW w:w="1101" w:type="dxa"/>
            <w:vAlign w:val="center"/>
          </w:tcPr>
          <w:p>
            <w:pPr>
              <w:shd w:val="clear"/>
              <w:spacing w:line="440" w:lineRule="exact"/>
              <w:jc w:val="center"/>
              <w:rPr>
                <w:rFonts w:ascii="宋体" w:hAnsi="宋体" w:cs="宋体"/>
                <w:sz w:val="24"/>
                <w:highlight w:val="none"/>
              </w:rPr>
            </w:pPr>
            <w:r>
              <w:rPr>
                <w:rFonts w:hint="eastAsia" w:ascii="宋体" w:hAnsi="宋体" w:cs="宋体"/>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834" w:type="dxa"/>
          </w:tcPr>
          <w:p>
            <w:pPr>
              <w:shd w:val="clear"/>
              <w:spacing w:line="440" w:lineRule="exact"/>
              <w:rPr>
                <w:rFonts w:ascii="宋体" w:hAnsi="宋体" w:cs="宋体"/>
                <w:sz w:val="24"/>
                <w:highlight w:val="none"/>
              </w:rPr>
            </w:pPr>
          </w:p>
        </w:tc>
        <w:tc>
          <w:tcPr>
            <w:tcW w:w="1974"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1101" w:type="dxa"/>
          </w:tcPr>
          <w:p>
            <w:pPr>
              <w:shd w:val="clear"/>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834" w:type="dxa"/>
          </w:tcPr>
          <w:p>
            <w:pPr>
              <w:shd w:val="clear"/>
              <w:spacing w:line="440" w:lineRule="exact"/>
              <w:rPr>
                <w:rFonts w:ascii="宋体" w:hAnsi="宋体" w:cs="宋体"/>
                <w:sz w:val="24"/>
                <w:highlight w:val="none"/>
              </w:rPr>
            </w:pPr>
          </w:p>
        </w:tc>
        <w:tc>
          <w:tcPr>
            <w:tcW w:w="1974"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1101" w:type="dxa"/>
          </w:tcPr>
          <w:p>
            <w:pPr>
              <w:shd w:val="clear"/>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834" w:type="dxa"/>
          </w:tcPr>
          <w:p>
            <w:pPr>
              <w:shd w:val="clear"/>
              <w:spacing w:line="440" w:lineRule="exact"/>
              <w:rPr>
                <w:rFonts w:ascii="宋体" w:hAnsi="宋体" w:cs="宋体"/>
                <w:sz w:val="24"/>
                <w:highlight w:val="none"/>
              </w:rPr>
            </w:pPr>
          </w:p>
        </w:tc>
        <w:tc>
          <w:tcPr>
            <w:tcW w:w="1974"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1101" w:type="dxa"/>
          </w:tcPr>
          <w:p>
            <w:pPr>
              <w:shd w:val="clear"/>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834" w:type="dxa"/>
          </w:tcPr>
          <w:p>
            <w:pPr>
              <w:shd w:val="clear"/>
              <w:spacing w:line="440" w:lineRule="exact"/>
              <w:rPr>
                <w:rFonts w:ascii="宋体" w:hAnsi="宋体" w:cs="宋体"/>
                <w:sz w:val="24"/>
                <w:highlight w:val="none"/>
              </w:rPr>
            </w:pPr>
          </w:p>
        </w:tc>
        <w:tc>
          <w:tcPr>
            <w:tcW w:w="1974"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1101" w:type="dxa"/>
          </w:tcPr>
          <w:p>
            <w:pPr>
              <w:shd w:val="clear"/>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834" w:type="dxa"/>
          </w:tcPr>
          <w:p>
            <w:pPr>
              <w:shd w:val="clear"/>
              <w:spacing w:line="440" w:lineRule="exact"/>
              <w:rPr>
                <w:rFonts w:ascii="宋体" w:hAnsi="宋体" w:cs="宋体"/>
                <w:sz w:val="24"/>
                <w:highlight w:val="none"/>
              </w:rPr>
            </w:pPr>
          </w:p>
        </w:tc>
        <w:tc>
          <w:tcPr>
            <w:tcW w:w="1974"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1101" w:type="dxa"/>
          </w:tcPr>
          <w:p>
            <w:pPr>
              <w:shd w:val="clear"/>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834" w:type="dxa"/>
          </w:tcPr>
          <w:p>
            <w:pPr>
              <w:shd w:val="clear"/>
              <w:spacing w:line="440" w:lineRule="exact"/>
              <w:rPr>
                <w:rFonts w:ascii="宋体" w:hAnsi="宋体" w:cs="宋体"/>
                <w:sz w:val="24"/>
                <w:highlight w:val="none"/>
              </w:rPr>
            </w:pPr>
          </w:p>
        </w:tc>
        <w:tc>
          <w:tcPr>
            <w:tcW w:w="1974"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1101" w:type="dxa"/>
          </w:tcPr>
          <w:p>
            <w:pPr>
              <w:shd w:val="clear"/>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834" w:type="dxa"/>
          </w:tcPr>
          <w:p>
            <w:pPr>
              <w:shd w:val="clear"/>
              <w:spacing w:line="440" w:lineRule="exact"/>
              <w:rPr>
                <w:rFonts w:ascii="宋体" w:hAnsi="宋体" w:cs="宋体"/>
                <w:sz w:val="24"/>
                <w:highlight w:val="none"/>
              </w:rPr>
            </w:pPr>
          </w:p>
        </w:tc>
        <w:tc>
          <w:tcPr>
            <w:tcW w:w="1974"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1101" w:type="dxa"/>
          </w:tcPr>
          <w:p>
            <w:pPr>
              <w:shd w:val="clear"/>
              <w:spacing w:line="44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834" w:type="dxa"/>
          </w:tcPr>
          <w:p>
            <w:pPr>
              <w:shd w:val="clear"/>
              <w:spacing w:line="440" w:lineRule="exact"/>
              <w:rPr>
                <w:rFonts w:ascii="宋体" w:hAnsi="宋体" w:cs="宋体"/>
                <w:sz w:val="24"/>
                <w:highlight w:val="none"/>
              </w:rPr>
            </w:pPr>
          </w:p>
        </w:tc>
        <w:tc>
          <w:tcPr>
            <w:tcW w:w="1974"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2457" w:type="dxa"/>
          </w:tcPr>
          <w:p>
            <w:pPr>
              <w:shd w:val="clear"/>
              <w:spacing w:line="440" w:lineRule="exact"/>
              <w:rPr>
                <w:rFonts w:ascii="宋体" w:hAnsi="宋体" w:cs="宋体"/>
                <w:sz w:val="24"/>
                <w:highlight w:val="none"/>
              </w:rPr>
            </w:pPr>
          </w:p>
        </w:tc>
        <w:tc>
          <w:tcPr>
            <w:tcW w:w="1101" w:type="dxa"/>
          </w:tcPr>
          <w:p>
            <w:pPr>
              <w:shd w:val="clear"/>
              <w:spacing w:line="440" w:lineRule="exact"/>
              <w:rPr>
                <w:rFonts w:ascii="宋体" w:hAnsi="宋体" w:cs="宋体"/>
                <w:sz w:val="24"/>
                <w:highlight w:val="none"/>
              </w:rPr>
            </w:pPr>
          </w:p>
        </w:tc>
      </w:tr>
    </w:tbl>
    <w:p>
      <w:pPr>
        <w:shd w:val="clear"/>
        <w:spacing w:line="440" w:lineRule="exact"/>
        <w:rPr>
          <w:rFonts w:ascii="宋体" w:hAnsi="宋体" w:cs="宋体"/>
          <w:sz w:val="24"/>
          <w:highlight w:val="none"/>
        </w:rPr>
      </w:pPr>
      <w:r>
        <w:rPr>
          <w:rFonts w:hint="eastAsia" w:ascii="宋体" w:hAnsi="宋体" w:cs="宋体"/>
          <w:sz w:val="24"/>
          <w:highlight w:val="none"/>
        </w:rPr>
        <w:t xml:space="preserve">  </w:t>
      </w:r>
    </w:p>
    <w:p>
      <w:pPr>
        <w:shd w:val="clear"/>
        <w:spacing w:line="440" w:lineRule="exact"/>
        <w:rPr>
          <w:rFonts w:ascii="宋体" w:hAnsi="宋体" w:cs="宋体"/>
          <w:b/>
          <w:sz w:val="24"/>
          <w:szCs w:val="24"/>
          <w:highlight w:val="none"/>
        </w:rPr>
      </w:pPr>
      <w:r>
        <w:rPr>
          <w:rFonts w:hint="eastAsia" w:ascii="宋体" w:hAnsi="宋体" w:cs="宋体"/>
          <w:b/>
          <w:sz w:val="24"/>
          <w:szCs w:val="24"/>
          <w:highlight w:val="none"/>
        </w:rPr>
        <w:t>投标人（盖章）：</w:t>
      </w:r>
    </w:p>
    <w:p>
      <w:pPr>
        <w:shd w:val="clear"/>
        <w:spacing w:line="440" w:lineRule="exact"/>
        <w:rPr>
          <w:rFonts w:ascii="宋体" w:hAnsi="宋体" w:cs="宋体"/>
          <w:b/>
          <w:sz w:val="24"/>
          <w:highlight w:val="none"/>
        </w:rPr>
      </w:pPr>
    </w:p>
    <w:p>
      <w:pPr>
        <w:shd w:val="clear"/>
        <w:spacing w:line="440" w:lineRule="exact"/>
        <w:rPr>
          <w:rFonts w:ascii="宋体" w:hAnsi="宋体" w:cs="宋体"/>
          <w:b/>
          <w:sz w:val="24"/>
          <w:highlight w:val="none"/>
          <w:u w:val="single"/>
        </w:rPr>
      </w:pPr>
      <w:r>
        <w:rPr>
          <w:rFonts w:hint="eastAsia" w:ascii="宋体" w:hAnsi="宋体" w:cs="宋体"/>
          <w:b/>
          <w:sz w:val="24"/>
          <w:highlight w:val="none"/>
        </w:rPr>
        <w:t>投标人代表（签字）：</w:t>
      </w:r>
      <w:r>
        <w:rPr>
          <w:rFonts w:hint="eastAsia" w:ascii="宋体" w:hAnsi="宋体" w:cs="宋体"/>
          <w:b/>
          <w:sz w:val="24"/>
          <w:highlight w:val="none"/>
          <w:u w:val="single"/>
        </w:rPr>
        <w:t xml:space="preserve">                       </w:t>
      </w:r>
    </w:p>
    <w:p>
      <w:pPr>
        <w:shd w:val="clear"/>
        <w:spacing w:line="440" w:lineRule="exact"/>
        <w:rPr>
          <w:rFonts w:ascii="宋体" w:hAnsi="宋体" w:cs="宋体"/>
          <w:b/>
          <w:sz w:val="24"/>
          <w:highlight w:val="none"/>
          <w:u w:val="single"/>
        </w:rPr>
      </w:pPr>
    </w:p>
    <w:p>
      <w:pPr>
        <w:shd w:val="clear"/>
        <w:adjustRightInd w:val="0"/>
        <w:snapToGrid w:val="0"/>
        <w:spacing w:line="440" w:lineRule="exact"/>
        <w:jc w:val="center"/>
        <w:outlineLvl w:val="1"/>
        <w:rPr>
          <w:rFonts w:ascii="宋体" w:hAnsi="宋体" w:cs="宋体"/>
          <w:b/>
          <w:bCs/>
          <w:sz w:val="28"/>
          <w:szCs w:val="28"/>
          <w:highlight w:val="none"/>
        </w:rPr>
      </w:pPr>
      <w:r>
        <w:rPr>
          <w:rFonts w:hint="eastAsia" w:ascii="宋体" w:hAnsi="宋体" w:cs="宋体"/>
          <w:b/>
          <w:bCs/>
          <w:sz w:val="28"/>
          <w:szCs w:val="28"/>
          <w:highlight w:val="none"/>
        </w:rPr>
        <w:t>8.工程竣工后服务承诺</w:t>
      </w:r>
    </w:p>
    <w:p>
      <w:pPr>
        <w:shd w:val="clear"/>
        <w:adjustRightInd w:val="0"/>
        <w:snapToGrid w:val="0"/>
        <w:spacing w:line="440" w:lineRule="exact"/>
        <w:jc w:val="center"/>
        <w:rPr>
          <w:rFonts w:ascii="宋体" w:hAnsi="宋体" w:cs="宋体"/>
          <w:b/>
          <w:bCs/>
          <w:sz w:val="30"/>
          <w:highlight w:val="none"/>
        </w:rPr>
      </w:pPr>
    </w:p>
    <w:p>
      <w:pPr>
        <w:shd w:val="clear"/>
        <w:spacing w:line="480" w:lineRule="auto"/>
        <w:rPr>
          <w:rFonts w:ascii="宋体"/>
          <w:bCs/>
          <w:sz w:val="24"/>
          <w:highlight w:val="none"/>
        </w:rPr>
      </w:pPr>
      <w:r>
        <w:rPr>
          <w:rFonts w:ascii="宋体" w:hAnsi="宋体"/>
          <w:bCs/>
          <w:sz w:val="24"/>
          <w:highlight w:val="none"/>
          <w:u w:val="single"/>
        </w:rPr>
        <w:t xml:space="preserve">                  </w:t>
      </w:r>
      <w:r>
        <w:rPr>
          <w:rFonts w:hint="eastAsia" w:ascii="宋体" w:hAnsi="宋体"/>
          <w:bCs/>
          <w:sz w:val="24"/>
          <w:highlight w:val="none"/>
        </w:rPr>
        <w:t>（招标人名称）：</w:t>
      </w:r>
    </w:p>
    <w:p>
      <w:pPr>
        <w:shd w:val="clear"/>
        <w:adjustRightInd w:val="0"/>
        <w:snapToGrid w:val="0"/>
        <w:spacing w:line="440" w:lineRule="exact"/>
        <w:jc w:val="center"/>
        <w:rPr>
          <w:rFonts w:hint="eastAsia" w:ascii="宋体" w:hAnsi="宋体" w:cs="宋体"/>
          <w:b/>
          <w:bCs/>
          <w:sz w:val="30"/>
          <w:highlight w:val="none"/>
        </w:rPr>
      </w:pPr>
    </w:p>
    <w:p>
      <w:pPr>
        <w:shd w:val="clear"/>
        <w:adjustRightInd w:val="0"/>
        <w:snapToGrid w:val="0"/>
        <w:spacing w:line="360" w:lineRule="auto"/>
        <w:ind w:firstLine="480" w:firstLineChars="200"/>
        <w:jc w:val="left"/>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rPr>
        <w:t>我公司</w:t>
      </w:r>
      <w:r>
        <w:rPr>
          <w:rFonts w:hint="eastAsia" w:asciiTheme="minorEastAsia" w:hAnsiTheme="minorEastAsia" w:eastAsiaTheme="minorEastAsia" w:cstheme="minorEastAsia"/>
          <w:b w:val="0"/>
          <w:bCs w:val="0"/>
          <w:sz w:val="24"/>
          <w:szCs w:val="24"/>
          <w:highlight w:val="none"/>
          <w:lang w:val="en-US" w:eastAsia="zh-CN"/>
        </w:rPr>
        <w:t>按照合同要求</w:t>
      </w:r>
      <w:r>
        <w:rPr>
          <w:rFonts w:hint="eastAsia" w:asciiTheme="minorEastAsia" w:hAnsiTheme="minorEastAsia" w:eastAsiaTheme="minorEastAsia" w:cstheme="minorEastAsia"/>
          <w:b w:val="0"/>
          <w:bCs w:val="0"/>
          <w:sz w:val="24"/>
          <w:szCs w:val="24"/>
          <w:highlight w:val="none"/>
        </w:rPr>
        <w:t>，保证工程的顺利移交和投入</w:t>
      </w:r>
      <w:r>
        <w:rPr>
          <w:rFonts w:hint="eastAsia" w:asciiTheme="minorEastAsia" w:hAnsiTheme="minorEastAsia" w:eastAsiaTheme="minorEastAsia" w:cstheme="minorEastAsia"/>
          <w:b w:val="0"/>
          <w:bCs w:val="0"/>
          <w:sz w:val="24"/>
          <w:szCs w:val="24"/>
          <w:highlight w:val="none"/>
          <w:lang w:val="en-US" w:eastAsia="zh-CN"/>
        </w:rPr>
        <w:t>正式</w:t>
      </w:r>
      <w:r>
        <w:rPr>
          <w:rFonts w:hint="eastAsia" w:asciiTheme="minorEastAsia" w:hAnsiTheme="minorEastAsia" w:eastAsiaTheme="minorEastAsia" w:cstheme="minorEastAsia"/>
          <w:b w:val="0"/>
          <w:bCs w:val="0"/>
          <w:sz w:val="24"/>
          <w:szCs w:val="24"/>
          <w:highlight w:val="none"/>
        </w:rPr>
        <w:t>运行。</w:t>
      </w:r>
      <w:r>
        <w:rPr>
          <w:rFonts w:hint="eastAsia" w:asciiTheme="minorEastAsia" w:hAnsiTheme="minorEastAsia" w:eastAsiaTheme="minorEastAsia" w:cstheme="minorEastAsia"/>
          <w:b w:val="0"/>
          <w:bCs w:val="0"/>
          <w:sz w:val="24"/>
          <w:szCs w:val="24"/>
          <w:highlight w:val="none"/>
          <w:lang w:val="en-US" w:eastAsia="zh-CN"/>
        </w:rPr>
        <w:t>并作以下承诺：</w:t>
      </w:r>
    </w:p>
    <w:p>
      <w:pPr>
        <w:numPr>
          <w:ilvl w:val="0"/>
          <w:numId w:val="12"/>
        </w:numPr>
        <w:shd w:val="clear"/>
        <w:adjustRightInd w:val="0"/>
        <w:snapToGrid w:val="0"/>
        <w:spacing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任何施工工序出现质量问题，我公司将</w:t>
      </w:r>
      <w:r>
        <w:rPr>
          <w:rFonts w:hint="eastAsia" w:asciiTheme="minorEastAsia" w:hAnsiTheme="minorEastAsia" w:eastAsiaTheme="minorEastAsia" w:cstheme="minorEastAsia"/>
          <w:b w:val="0"/>
          <w:bCs w:val="0"/>
          <w:sz w:val="24"/>
          <w:szCs w:val="24"/>
          <w:highlight w:val="none"/>
          <w:lang w:val="en-US" w:eastAsia="zh-CN"/>
        </w:rPr>
        <w:t>配合招标人</w:t>
      </w:r>
      <w:r>
        <w:rPr>
          <w:rFonts w:hint="eastAsia" w:asciiTheme="minorEastAsia" w:hAnsiTheme="minorEastAsia" w:eastAsiaTheme="minorEastAsia" w:cstheme="minorEastAsia"/>
          <w:b w:val="0"/>
          <w:bCs w:val="0"/>
          <w:sz w:val="24"/>
          <w:szCs w:val="24"/>
          <w:highlight w:val="none"/>
        </w:rPr>
        <w:t>认真对待，</w:t>
      </w:r>
      <w:r>
        <w:rPr>
          <w:rFonts w:hint="eastAsia" w:asciiTheme="minorEastAsia" w:hAnsiTheme="minorEastAsia" w:eastAsiaTheme="minorEastAsia" w:cstheme="minorEastAsia"/>
          <w:b w:val="0"/>
          <w:bCs w:val="0"/>
          <w:sz w:val="24"/>
          <w:szCs w:val="24"/>
          <w:highlight w:val="none"/>
          <w:lang w:val="en-US" w:eastAsia="zh-CN"/>
        </w:rPr>
        <w:t>在规定时间</w:t>
      </w:r>
      <w:r>
        <w:rPr>
          <w:rFonts w:hint="eastAsia" w:asciiTheme="minorEastAsia" w:hAnsiTheme="minorEastAsia" w:eastAsiaTheme="minorEastAsia" w:cstheme="minorEastAsia"/>
          <w:b w:val="0"/>
          <w:bCs w:val="0"/>
          <w:sz w:val="24"/>
          <w:szCs w:val="24"/>
          <w:highlight w:val="none"/>
        </w:rPr>
        <w:t>内妥善解决。</w:t>
      </w:r>
    </w:p>
    <w:p>
      <w:pPr>
        <w:pStyle w:val="2"/>
        <w:numPr>
          <w:ilvl w:val="0"/>
          <w:numId w:val="12"/>
        </w:numPr>
        <w:shd w:val="clear"/>
        <w:spacing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在工程完工后，我公司将积极配合设备制造商、</w:t>
      </w:r>
      <w:r>
        <w:rPr>
          <w:rFonts w:hint="eastAsia" w:ascii="宋体" w:hAnsi="宋体"/>
          <w:bCs/>
          <w:sz w:val="24"/>
          <w:highlight w:val="none"/>
        </w:rPr>
        <w:t>招标人</w:t>
      </w:r>
      <w:r>
        <w:rPr>
          <w:rFonts w:hint="eastAsia" w:asciiTheme="minorEastAsia" w:hAnsiTheme="minorEastAsia" w:eastAsiaTheme="minorEastAsia" w:cstheme="minorEastAsia"/>
          <w:b w:val="0"/>
          <w:bCs w:val="0"/>
          <w:sz w:val="24"/>
          <w:szCs w:val="24"/>
          <w:highlight w:val="none"/>
        </w:rPr>
        <w:t>及有关技术人员进行工程的运行验收，积极响应</w:t>
      </w:r>
      <w:r>
        <w:rPr>
          <w:rFonts w:hint="eastAsia" w:ascii="宋体" w:hAnsi="宋体"/>
          <w:bCs/>
          <w:sz w:val="24"/>
          <w:highlight w:val="none"/>
        </w:rPr>
        <w:t>招标人</w:t>
      </w:r>
      <w:r>
        <w:rPr>
          <w:rFonts w:hint="eastAsia" w:asciiTheme="minorEastAsia" w:hAnsiTheme="minorEastAsia" w:eastAsiaTheme="minorEastAsia" w:cstheme="minorEastAsia"/>
          <w:b w:val="0"/>
          <w:bCs w:val="0"/>
          <w:sz w:val="24"/>
          <w:szCs w:val="24"/>
          <w:highlight w:val="none"/>
        </w:rPr>
        <w:t>提出的改进方案。</w:t>
      </w:r>
    </w:p>
    <w:p>
      <w:pPr>
        <w:pStyle w:val="2"/>
        <w:numPr>
          <w:ilvl w:val="0"/>
          <w:numId w:val="12"/>
        </w:numPr>
        <w:shd w:val="clear"/>
        <w:spacing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在本工程缺陷责任期内，我公司将派</w:t>
      </w:r>
      <w:r>
        <w:rPr>
          <w:rFonts w:hint="eastAsia" w:asciiTheme="minorEastAsia" w:hAnsiTheme="minorEastAsia" w:eastAsiaTheme="minorEastAsia" w:cstheme="minorEastAsia"/>
          <w:b w:val="0"/>
          <w:bCs w:val="0"/>
          <w:sz w:val="24"/>
          <w:szCs w:val="24"/>
          <w:highlight w:val="none"/>
          <w:lang w:val="en-US" w:eastAsia="zh-CN"/>
        </w:rPr>
        <w:t>专职</w:t>
      </w:r>
      <w:r>
        <w:rPr>
          <w:rFonts w:hint="eastAsia" w:asciiTheme="minorEastAsia" w:hAnsiTheme="minorEastAsia" w:eastAsiaTheme="minorEastAsia" w:cstheme="minorEastAsia"/>
          <w:b w:val="0"/>
          <w:bCs w:val="0"/>
          <w:sz w:val="24"/>
          <w:szCs w:val="24"/>
          <w:highlight w:val="none"/>
        </w:rPr>
        <w:t>人员随时掌握工程运行动态，发现问题后立即会同</w:t>
      </w:r>
      <w:r>
        <w:rPr>
          <w:rFonts w:hint="eastAsia" w:asciiTheme="minorEastAsia" w:hAnsiTheme="minorEastAsia" w:eastAsiaTheme="minorEastAsia" w:cstheme="minorEastAsia"/>
          <w:b w:val="0"/>
          <w:bCs w:val="0"/>
          <w:sz w:val="24"/>
          <w:szCs w:val="24"/>
          <w:highlight w:val="none"/>
          <w:lang w:eastAsia="zh-CN"/>
        </w:rPr>
        <w:t>招标人</w:t>
      </w:r>
      <w:r>
        <w:rPr>
          <w:rFonts w:hint="eastAsia" w:asciiTheme="minorEastAsia" w:hAnsiTheme="minorEastAsia" w:eastAsiaTheme="minorEastAsia" w:cstheme="minorEastAsia"/>
          <w:b w:val="0"/>
          <w:bCs w:val="0"/>
          <w:sz w:val="24"/>
          <w:szCs w:val="24"/>
          <w:highlight w:val="none"/>
        </w:rPr>
        <w:t>和设备制造商进行可行性研究，再由我公司派遣人员进行针对性的改进。</w:t>
      </w:r>
    </w:p>
    <w:p>
      <w:pPr>
        <w:pStyle w:val="2"/>
        <w:numPr>
          <w:ilvl w:val="0"/>
          <w:numId w:val="12"/>
        </w:numPr>
        <w:shd w:val="clear"/>
        <w:spacing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在工程投入</w:t>
      </w:r>
      <w:r>
        <w:rPr>
          <w:rFonts w:hint="eastAsia" w:asciiTheme="minorEastAsia" w:hAnsiTheme="minorEastAsia" w:eastAsiaTheme="minorEastAsia" w:cstheme="minorEastAsia"/>
          <w:b w:val="0"/>
          <w:bCs w:val="0"/>
          <w:sz w:val="24"/>
          <w:szCs w:val="24"/>
          <w:highlight w:val="none"/>
          <w:lang w:val="en-US" w:eastAsia="zh-CN"/>
        </w:rPr>
        <w:t>正式</w:t>
      </w:r>
      <w:r>
        <w:rPr>
          <w:rFonts w:hint="eastAsia" w:asciiTheme="minorEastAsia" w:hAnsiTheme="minorEastAsia" w:eastAsiaTheme="minorEastAsia" w:cstheme="minorEastAsia"/>
          <w:b w:val="0"/>
          <w:bCs w:val="0"/>
          <w:sz w:val="24"/>
          <w:szCs w:val="24"/>
          <w:highlight w:val="none"/>
        </w:rPr>
        <w:t>运行后，若因施工安装问题而引起故障，我公司将在</w:t>
      </w:r>
      <w:r>
        <w:rPr>
          <w:rFonts w:hint="eastAsia" w:asciiTheme="minorEastAsia" w:hAnsiTheme="minorEastAsia" w:eastAsiaTheme="minorEastAsia" w:cstheme="minorEastAsia"/>
          <w:b w:val="0"/>
          <w:bCs w:val="0"/>
          <w:sz w:val="24"/>
          <w:szCs w:val="24"/>
          <w:highlight w:val="none"/>
          <w:lang w:val="en-US" w:eastAsia="zh-CN"/>
        </w:rPr>
        <w:t>约定时间</w:t>
      </w:r>
      <w:r>
        <w:rPr>
          <w:rFonts w:hint="eastAsia" w:asciiTheme="minorEastAsia" w:hAnsiTheme="minorEastAsia" w:eastAsiaTheme="minorEastAsia" w:cstheme="minorEastAsia"/>
          <w:b w:val="0"/>
          <w:bCs w:val="0"/>
          <w:sz w:val="24"/>
          <w:szCs w:val="24"/>
          <w:highlight w:val="none"/>
        </w:rPr>
        <w:t>内赴往现场并妥善解决且对此负责。</w:t>
      </w:r>
    </w:p>
    <w:p>
      <w:pPr>
        <w:pStyle w:val="2"/>
        <w:numPr>
          <w:ilvl w:val="0"/>
          <w:numId w:val="12"/>
        </w:numPr>
        <w:shd w:val="clear"/>
        <w:spacing w:line="360" w:lineRule="auto"/>
        <w:jc w:val="left"/>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若设备质量出现问题，根据</w:t>
      </w:r>
      <w:r>
        <w:rPr>
          <w:rFonts w:hint="eastAsia" w:asciiTheme="minorEastAsia" w:hAnsiTheme="minorEastAsia" w:eastAsiaTheme="minorEastAsia" w:cstheme="minorEastAsia"/>
          <w:b w:val="0"/>
          <w:bCs w:val="0"/>
          <w:sz w:val="24"/>
          <w:szCs w:val="24"/>
          <w:highlight w:val="none"/>
          <w:lang w:eastAsia="zh-CN"/>
        </w:rPr>
        <w:t>招标人</w:t>
      </w:r>
      <w:r>
        <w:rPr>
          <w:rFonts w:hint="eastAsia" w:asciiTheme="minorEastAsia" w:hAnsiTheme="minorEastAsia" w:eastAsiaTheme="minorEastAsia" w:cstheme="minorEastAsia"/>
          <w:b w:val="0"/>
          <w:bCs w:val="0"/>
          <w:sz w:val="24"/>
          <w:szCs w:val="24"/>
          <w:highlight w:val="none"/>
        </w:rPr>
        <w:t>要求，由我方</w:t>
      </w:r>
      <w:r>
        <w:rPr>
          <w:rFonts w:hint="eastAsia" w:asciiTheme="minorEastAsia" w:hAnsiTheme="minorEastAsia" w:eastAsiaTheme="minorEastAsia" w:cstheme="minorEastAsia"/>
          <w:b w:val="0"/>
          <w:bCs w:val="0"/>
          <w:sz w:val="24"/>
          <w:szCs w:val="24"/>
          <w:highlight w:val="none"/>
          <w:lang w:val="en-US" w:eastAsia="zh-CN"/>
        </w:rPr>
        <w:t>与</w:t>
      </w:r>
      <w:r>
        <w:rPr>
          <w:rFonts w:hint="eastAsia" w:asciiTheme="minorEastAsia" w:hAnsiTheme="minorEastAsia" w:eastAsiaTheme="minorEastAsia" w:cstheme="minorEastAsia"/>
          <w:b w:val="0"/>
          <w:bCs w:val="0"/>
          <w:sz w:val="24"/>
          <w:szCs w:val="24"/>
          <w:highlight w:val="none"/>
        </w:rPr>
        <w:t>设备制造厂家协商，按厂家售后服务承诺书上进行检修或进行设备更换。</w:t>
      </w:r>
    </w:p>
    <w:p>
      <w:pPr>
        <w:shd w:val="clear"/>
        <w:spacing w:line="480" w:lineRule="auto"/>
        <w:ind w:firstLine="2467" w:firstLineChars="1028"/>
        <w:jc w:val="right"/>
        <w:rPr>
          <w:rFonts w:ascii="宋体"/>
          <w:sz w:val="24"/>
          <w:highlight w:val="none"/>
        </w:rPr>
      </w:pPr>
      <w:r>
        <w:rPr>
          <w:rFonts w:hint="eastAsia" w:ascii="宋体" w:hAnsi="宋体"/>
          <w:sz w:val="24"/>
          <w:highlight w:val="none"/>
        </w:rPr>
        <w:t>投标人名称：</w:t>
      </w:r>
      <w:r>
        <w:rPr>
          <w:rFonts w:ascii="宋体" w:hAnsi="宋体"/>
          <w:sz w:val="24"/>
          <w:highlight w:val="none"/>
          <w:u w:val="single"/>
        </w:rPr>
        <w:t xml:space="preserve">                          </w:t>
      </w:r>
      <w:r>
        <w:rPr>
          <w:rFonts w:hint="eastAsia" w:ascii="宋体" w:hAnsi="宋体"/>
          <w:sz w:val="24"/>
          <w:highlight w:val="none"/>
        </w:rPr>
        <w:t>（盖单位章）</w:t>
      </w:r>
    </w:p>
    <w:p>
      <w:pPr>
        <w:shd w:val="clear"/>
        <w:spacing w:line="480" w:lineRule="auto"/>
        <w:ind w:firstLine="2467" w:firstLineChars="1028"/>
        <w:jc w:val="right"/>
        <w:rPr>
          <w:rFonts w:ascii="宋体"/>
          <w:sz w:val="24"/>
          <w:highlight w:val="none"/>
        </w:rPr>
      </w:pPr>
      <w:r>
        <w:rPr>
          <w:rFonts w:hint="eastAsia" w:ascii="宋体" w:hAnsi="宋体"/>
          <w:sz w:val="24"/>
          <w:highlight w:val="none"/>
        </w:rPr>
        <w:t>法定代表人或授权人：</w:t>
      </w:r>
      <w:r>
        <w:rPr>
          <w:rFonts w:ascii="宋体" w:hAnsi="宋体"/>
          <w:sz w:val="24"/>
          <w:highlight w:val="none"/>
          <w:u w:val="single"/>
        </w:rPr>
        <w:t xml:space="preserve">                   </w:t>
      </w:r>
      <w:r>
        <w:rPr>
          <w:rFonts w:hint="eastAsia" w:ascii="宋体" w:hAnsi="宋体"/>
          <w:sz w:val="24"/>
          <w:highlight w:val="none"/>
        </w:rPr>
        <w:t>（签字）</w:t>
      </w:r>
    </w:p>
    <w:p>
      <w:pPr>
        <w:shd w:val="clear"/>
        <w:spacing w:line="480" w:lineRule="auto"/>
        <w:ind w:firstLine="4387" w:firstLineChars="1828"/>
        <w:jc w:val="right"/>
        <w:rPr>
          <w:rFonts w:ascii="宋体"/>
          <w:sz w:val="24"/>
          <w:highlight w:val="none"/>
        </w:rPr>
      </w:pPr>
      <w:r>
        <w:rPr>
          <w:rFonts w:ascii="宋体" w:hAnsi="宋体"/>
          <w:sz w:val="24"/>
          <w:highlight w:val="none"/>
          <w:u w:val="single"/>
        </w:rPr>
        <w:t xml:space="preserve">        </w:t>
      </w:r>
      <w:r>
        <w:rPr>
          <w:rFonts w:hint="eastAsia" w:ascii="宋体" w:hAnsi="宋体"/>
          <w:sz w:val="24"/>
          <w:highlight w:val="none"/>
        </w:rPr>
        <w:t>年</w:t>
      </w:r>
      <w:r>
        <w:rPr>
          <w:rFonts w:ascii="宋体" w:hAnsi="宋体"/>
          <w:sz w:val="24"/>
          <w:highlight w:val="none"/>
          <w:u w:val="single"/>
        </w:rPr>
        <w:t xml:space="preserve">       </w:t>
      </w:r>
      <w:r>
        <w:rPr>
          <w:rFonts w:hint="eastAsia" w:ascii="宋体" w:hAnsi="宋体"/>
          <w:sz w:val="24"/>
          <w:highlight w:val="none"/>
        </w:rPr>
        <w:t>月</w:t>
      </w:r>
      <w:r>
        <w:rPr>
          <w:rFonts w:ascii="宋体" w:hAnsi="宋体"/>
          <w:sz w:val="24"/>
          <w:highlight w:val="none"/>
          <w:u w:val="single"/>
        </w:rPr>
        <w:t xml:space="preserve">       </w:t>
      </w:r>
      <w:r>
        <w:rPr>
          <w:rFonts w:hint="eastAsia" w:ascii="宋体" w:hAnsi="宋体"/>
          <w:sz w:val="24"/>
          <w:highlight w:val="none"/>
        </w:rPr>
        <w:t>日</w:t>
      </w: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outlineLvl w:val="1"/>
        <w:rPr>
          <w:rFonts w:ascii="宋体" w:hAnsi="宋体" w:cs="宋体"/>
          <w:b/>
          <w:bCs/>
          <w:sz w:val="28"/>
          <w:szCs w:val="28"/>
          <w:highlight w:val="none"/>
        </w:rPr>
      </w:pPr>
      <w:r>
        <w:rPr>
          <w:rFonts w:hint="eastAsia" w:ascii="宋体" w:hAnsi="宋体" w:cs="宋体"/>
          <w:b/>
          <w:bCs/>
          <w:sz w:val="28"/>
          <w:szCs w:val="28"/>
          <w:highlight w:val="none"/>
        </w:rPr>
        <w:t>9.资格证明文件</w:t>
      </w:r>
    </w:p>
    <w:p>
      <w:pPr>
        <w:shd w:val="clear"/>
        <w:adjustRightInd w:val="0"/>
        <w:snapToGrid w:val="0"/>
        <w:spacing w:line="440" w:lineRule="exact"/>
        <w:rPr>
          <w:rFonts w:ascii="宋体" w:hAnsi="宋体" w:cs="宋体"/>
          <w:b/>
          <w:bCs/>
          <w:sz w:val="28"/>
          <w:szCs w:val="28"/>
          <w:highlight w:val="none"/>
        </w:rPr>
      </w:pPr>
    </w:p>
    <w:p>
      <w:pPr>
        <w:shd w:val="clear"/>
        <w:spacing w:line="440" w:lineRule="exact"/>
        <w:jc w:val="center"/>
        <w:rPr>
          <w:rFonts w:ascii="宋体" w:hAnsi="宋体" w:cs="宋体"/>
          <w:b/>
          <w:bCs/>
          <w:sz w:val="28"/>
          <w:szCs w:val="28"/>
          <w:highlight w:val="none"/>
        </w:rPr>
      </w:pPr>
      <w:r>
        <w:rPr>
          <w:rFonts w:hint="eastAsia" w:ascii="宋体" w:hAnsi="宋体" w:cs="宋体"/>
          <w:b/>
          <w:bCs/>
          <w:sz w:val="28"/>
          <w:szCs w:val="28"/>
          <w:highlight w:val="none"/>
        </w:rPr>
        <w:t>9-1法定代表人授权委托书</w:t>
      </w:r>
    </w:p>
    <w:p>
      <w:pPr>
        <w:shd w:val="clear"/>
        <w:adjustRightInd w:val="0"/>
        <w:snapToGrid w:val="0"/>
        <w:spacing w:line="440" w:lineRule="exact"/>
        <w:jc w:val="center"/>
        <w:rPr>
          <w:rFonts w:ascii="宋体" w:hAnsi="宋体" w:cs="宋体"/>
          <w:b/>
          <w:bCs/>
          <w:sz w:val="30"/>
          <w:highlight w:val="none"/>
        </w:rPr>
      </w:pPr>
    </w:p>
    <w:p>
      <w:pPr>
        <w:shd w:val="clear"/>
        <w:spacing w:line="440" w:lineRule="exact"/>
        <w:rPr>
          <w:rFonts w:ascii="宋体" w:hAnsi="宋体" w:cs="宋体"/>
          <w:sz w:val="24"/>
          <w:highlight w:val="none"/>
        </w:rPr>
      </w:pPr>
      <w:r>
        <w:rPr>
          <w:rFonts w:hint="eastAsia" w:ascii="宋体" w:hAnsi="宋体" w:cs="宋体"/>
          <w:sz w:val="24"/>
          <w:highlight w:val="none"/>
        </w:rPr>
        <w:t>致：（招标代理机构）</w:t>
      </w:r>
    </w:p>
    <w:p>
      <w:pPr>
        <w:shd w:val="clear"/>
        <w:spacing w:line="440" w:lineRule="exact"/>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sz w:val="24"/>
          <w:highlight w:val="none"/>
          <w:u w:val="single"/>
        </w:rPr>
        <w:t xml:space="preserve">                 </w:t>
      </w:r>
      <w:r>
        <w:rPr>
          <w:rFonts w:hint="eastAsia" w:ascii="宋体" w:hAnsi="宋体" w:cs="宋体"/>
          <w:sz w:val="24"/>
          <w:highlight w:val="none"/>
        </w:rPr>
        <w:t>（投标人全称）法定代表人</w:t>
      </w:r>
      <w:r>
        <w:rPr>
          <w:rFonts w:hint="eastAsia" w:ascii="宋体" w:hAnsi="宋体" w:cs="宋体"/>
          <w:sz w:val="24"/>
          <w:highlight w:val="none"/>
          <w:u w:val="single"/>
        </w:rPr>
        <w:t xml:space="preserve">           </w:t>
      </w:r>
      <w:r>
        <w:rPr>
          <w:rFonts w:hint="eastAsia" w:ascii="宋体" w:hAnsi="宋体" w:cs="宋体"/>
          <w:sz w:val="24"/>
          <w:highlight w:val="none"/>
        </w:rPr>
        <w:t>授权</w:t>
      </w:r>
      <w:r>
        <w:rPr>
          <w:rFonts w:hint="eastAsia" w:ascii="宋体" w:hAnsi="宋体" w:cs="宋体"/>
          <w:sz w:val="24"/>
          <w:highlight w:val="none"/>
          <w:u w:val="single"/>
        </w:rPr>
        <w:t xml:space="preserve">         （</w:t>
      </w:r>
      <w:r>
        <w:rPr>
          <w:rFonts w:hint="eastAsia" w:ascii="宋体" w:hAnsi="宋体" w:cs="宋体"/>
          <w:sz w:val="24"/>
          <w:highlight w:val="none"/>
        </w:rPr>
        <w:t>全权代表姓名）为全权代表,参加贵处组织的</w:t>
      </w:r>
      <w:r>
        <w:rPr>
          <w:rFonts w:hint="eastAsia" w:ascii="宋体" w:hAnsi="宋体" w:cs="宋体"/>
          <w:sz w:val="24"/>
          <w:highlight w:val="none"/>
          <w:u w:val="single"/>
        </w:rPr>
        <w:t xml:space="preserve">                      </w:t>
      </w:r>
      <w:r>
        <w:rPr>
          <w:rFonts w:hint="eastAsia" w:ascii="宋体" w:hAnsi="宋体" w:cs="宋体"/>
          <w:sz w:val="24"/>
          <w:highlight w:val="none"/>
        </w:rPr>
        <w:t>（招标编号）项目招标活动，全权代表我方处理招标活动中的一切事宜。</w:t>
      </w:r>
    </w:p>
    <w:p>
      <w:pPr>
        <w:shd w:val="clear"/>
        <w:spacing w:line="440" w:lineRule="exact"/>
        <w:rPr>
          <w:rFonts w:ascii="宋体" w:hAnsi="宋体" w:cs="宋体"/>
          <w:sz w:val="24"/>
          <w:highlight w:val="none"/>
        </w:rPr>
      </w:pPr>
    </w:p>
    <w:p>
      <w:pPr>
        <w:shd w:val="clear"/>
        <w:spacing w:line="440" w:lineRule="exact"/>
        <w:rPr>
          <w:rFonts w:ascii="宋体" w:hAnsi="宋体" w:cs="宋体"/>
          <w:sz w:val="24"/>
          <w:highlight w:val="none"/>
        </w:rPr>
      </w:pPr>
    </w:p>
    <w:p>
      <w:pPr>
        <w:shd w:val="clear"/>
        <w:spacing w:line="440" w:lineRule="exact"/>
        <w:rPr>
          <w:rFonts w:ascii="宋体" w:hAnsi="宋体" w:cs="宋体"/>
          <w:sz w:val="24"/>
          <w:highlight w:val="none"/>
        </w:rPr>
      </w:pPr>
      <w:r>
        <w:rPr>
          <w:rFonts w:hint="eastAsia" w:ascii="宋体" w:hAnsi="宋体" w:cs="宋体"/>
          <w:sz w:val="24"/>
          <w:highlight w:val="none"/>
        </w:rPr>
        <w:t>法定代表人签字或盖章：</w:t>
      </w:r>
    </w:p>
    <w:p>
      <w:pPr>
        <w:shd w:val="clear"/>
        <w:spacing w:line="440" w:lineRule="exact"/>
        <w:rPr>
          <w:rFonts w:ascii="宋体" w:hAnsi="宋体" w:cs="宋体"/>
          <w:sz w:val="24"/>
          <w:highlight w:val="none"/>
        </w:rPr>
      </w:pPr>
    </w:p>
    <w:p>
      <w:pPr>
        <w:shd w:val="clear"/>
        <w:spacing w:line="440" w:lineRule="exact"/>
        <w:rPr>
          <w:rFonts w:ascii="宋体" w:hAnsi="宋体" w:cs="宋体"/>
          <w:sz w:val="24"/>
          <w:highlight w:val="none"/>
        </w:rPr>
      </w:pPr>
      <w:r>
        <w:rPr>
          <w:rFonts w:hint="eastAsia" w:ascii="宋体" w:hAnsi="宋体" w:cs="宋体"/>
          <w:sz w:val="24"/>
          <w:highlight w:val="none"/>
        </w:rPr>
        <w:t>投标人全称（公章）：</w:t>
      </w:r>
    </w:p>
    <w:p>
      <w:pPr>
        <w:shd w:val="clear"/>
        <w:spacing w:line="440" w:lineRule="exact"/>
        <w:rPr>
          <w:rFonts w:ascii="宋体" w:hAnsi="宋体" w:cs="宋体"/>
          <w:sz w:val="24"/>
          <w:highlight w:val="none"/>
        </w:rPr>
      </w:pPr>
    </w:p>
    <w:p>
      <w:pPr>
        <w:shd w:val="clear"/>
        <w:spacing w:line="440" w:lineRule="exact"/>
        <w:rPr>
          <w:rFonts w:ascii="宋体" w:hAnsi="宋体" w:cs="宋体"/>
          <w:sz w:val="24"/>
          <w:highlight w:val="none"/>
        </w:rPr>
      </w:pPr>
      <w:r>
        <w:rPr>
          <w:rFonts w:hint="eastAsia" w:ascii="宋体" w:hAnsi="宋体" w:cs="宋体"/>
          <w:sz w:val="24"/>
          <w:highlight w:val="none"/>
        </w:rPr>
        <w:t>日  期：</w:t>
      </w:r>
    </w:p>
    <w:p>
      <w:pPr>
        <w:shd w:val="clear"/>
        <w:spacing w:line="440" w:lineRule="exact"/>
        <w:rPr>
          <w:rFonts w:ascii="宋体" w:hAnsi="宋体" w:cs="宋体"/>
          <w:sz w:val="24"/>
          <w:highlight w:val="none"/>
        </w:rPr>
      </w:pPr>
    </w:p>
    <w:p>
      <w:pPr>
        <w:shd w:val="clear"/>
        <w:spacing w:line="440" w:lineRule="exact"/>
        <w:rPr>
          <w:rFonts w:ascii="宋体" w:hAnsi="宋体" w:cs="宋体"/>
          <w:sz w:val="24"/>
          <w:highlight w:val="none"/>
        </w:rPr>
      </w:pPr>
      <w:r>
        <w:rPr>
          <w:rFonts w:hint="eastAsia" w:ascii="宋体" w:hAnsi="宋体" w:cs="宋体"/>
          <w:sz w:val="24"/>
          <w:highlight w:val="none"/>
        </w:rPr>
        <w:t>附：</w:t>
      </w:r>
    </w:p>
    <w:p>
      <w:pPr>
        <w:shd w:val="clear"/>
        <w:spacing w:line="440" w:lineRule="exact"/>
        <w:rPr>
          <w:rFonts w:ascii="宋体" w:hAnsi="宋体" w:cs="宋体"/>
          <w:sz w:val="24"/>
          <w:highlight w:val="none"/>
        </w:rPr>
      </w:pPr>
      <w:r>
        <w:rPr>
          <w:rFonts w:hint="eastAsia" w:ascii="宋体" w:hAnsi="宋体" w:cs="宋体"/>
          <w:sz w:val="24"/>
          <w:highlight w:val="none"/>
        </w:rPr>
        <w:t xml:space="preserve">全权代表姓名：                   </w:t>
      </w:r>
    </w:p>
    <w:p>
      <w:pPr>
        <w:shd w:val="clear"/>
        <w:spacing w:line="440" w:lineRule="exact"/>
        <w:rPr>
          <w:rFonts w:ascii="宋体" w:hAnsi="宋体" w:cs="宋体"/>
          <w:sz w:val="24"/>
          <w:highlight w:val="none"/>
        </w:rPr>
      </w:pPr>
      <w:r>
        <w:rPr>
          <w:rFonts w:hint="eastAsia" w:ascii="宋体" w:hAnsi="宋体" w:cs="宋体"/>
          <w:sz w:val="24"/>
          <w:highlight w:val="none"/>
        </w:rPr>
        <w:t xml:space="preserve">职        务：                   </w:t>
      </w:r>
    </w:p>
    <w:p>
      <w:pPr>
        <w:shd w:val="clear"/>
        <w:spacing w:line="440" w:lineRule="exact"/>
        <w:rPr>
          <w:rFonts w:ascii="宋体" w:hAnsi="宋体" w:cs="宋体"/>
          <w:sz w:val="24"/>
          <w:highlight w:val="none"/>
        </w:rPr>
      </w:pPr>
      <w:r>
        <w:rPr>
          <w:rFonts w:hint="eastAsia" w:ascii="宋体" w:hAnsi="宋体" w:cs="宋体"/>
          <w:sz w:val="24"/>
          <w:highlight w:val="none"/>
        </w:rPr>
        <w:t xml:space="preserve">详细通讯地址：                   </w:t>
      </w:r>
    </w:p>
    <w:p>
      <w:pPr>
        <w:shd w:val="clear"/>
        <w:spacing w:line="440" w:lineRule="exact"/>
        <w:rPr>
          <w:rFonts w:ascii="宋体" w:hAnsi="宋体" w:cs="宋体"/>
          <w:sz w:val="24"/>
          <w:highlight w:val="none"/>
        </w:rPr>
      </w:pPr>
      <w:r>
        <w:rPr>
          <w:rFonts w:hint="eastAsia" w:ascii="宋体" w:hAnsi="宋体" w:cs="宋体"/>
          <w:sz w:val="24"/>
          <w:highlight w:val="none"/>
        </w:rPr>
        <w:t xml:space="preserve">邮 政 编 码 ：                   </w:t>
      </w:r>
    </w:p>
    <w:p>
      <w:pPr>
        <w:shd w:val="clear"/>
        <w:spacing w:line="440" w:lineRule="exact"/>
        <w:rPr>
          <w:rFonts w:ascii="宋体" w:hAnsi="宋体" w:cs="宋体"/>
          <w:sz w:val="24"/>
          <w:highlight w:val="none"/>
        </w:rPr>
      </w:pPr>
      <w:r>
        <w:rPr>
          <w:rFonts w:hint="eastAsia" w:ascii="宋体" w:hAnsi="宋体" w:cs="宋体"/>
          <w:sz w:val="24"/>
          <w:highlight w:val="none"/>
        </w:rPr>
        <w:t xml:space="preserve">传        真：                   </w:t>
      </w:r>
    </w:p>
    <w:p>
      <w:pPr>
        <w:shd w:val="clear"/>
        <w:spacing w:line="440" w:lineRule="exact"/>
        <w:rPr>
          <w:rFonts w:ascii="宋体" w:hAnsi="宋体" w:cs="宋体"/>
          <w:sz w:val="24"/>
          <w:highlight w:val="none"/>
        </w:rPr>
      </w:pPr>
      <w:r>
        <w:rPr>
          <w:rFonts w:hint="eastAsia" w:ascii="宋体" w:hAnsi="宋体" w:cs="宋体"/>
          <w:sz w:val="24"/>
          <w:highlight w:val="none"/>
        </w:rPr>
        <w:t xml:space="preserve">电        话：                   </w:t>
      </w:r>
    </w:p>
    <w:p>
      <w:pPr>
        <w:shd w:val="clear"/>
        <w:spacing w:line="440" w:lineRule="exact"/>
        <w:rPr>
          <w:rFonts w:ascii="宋体" w:hAnsi="宋体" w:cs="宋体"/>
          <w:sz w:val="24"/>
          <w:highlight w:val="none"/>
        </w:rPr>
      </w:pPr>
      <w:r>
        <w:rPr>
          <w:rFonts w:hint="eastAsia" w:ascii="宋体" w:hAnsi="宋体" w:cs="宋体"/>
          <w:sz w:val="24"/>
          <w:highlight w:val="none"/>
        </w:rPr>
        <w:t xml:space="preserve">电 子 信 箱 ：                   </w:t>
      </w:r>
    </w:p>
    <w:p>
      <w:pPr>
        <w:shd w:val="clear"/>
        <w:spacing w:line="440" w:lineRule="exact"/>
        <w:rPr>
          <w:rFonts w:ascii="宋体" w:hAnsi="宋体" w:cs="宋体"/>
          <w:sz w:val="24"/>
          <w:highlight w:val="none"/>
        </w:rPr>
      </w:pPr>
    </w:p>
    <w:p>
      <w:pPr>
        <w:shd w:val="clear"/>
        <w:tabs>
          <w:tab w:val="left" w:pos="1470"/>
        </w:tabs>
        <w:spacing w:line="440" w:lineRule="exact"/>
        <w:jc w:val="center"/>
        <w:rPr>
          <w:rFonts w:ascii="宋体" w:hAnsi="宋体" w:cs="宋体"/>
          <w:b/>
          <w:bCs/>
          <w:sz w:val="30"/>
          <w:highlight w:val="none"/>
        </w:rPr>
      </w:pPr>
      <w:r>
        <w:rPr>
          <w:rFonts w:hint="eastAsia" w:ascii="宋体" w:hAnsi="宋体" w:cs="宋体"/>
          <w:kern w:val="44"/>
          <w:highlight w:val="none"/>
        </w:rPr>
        <w:br w:type="page"/>
      </w:r>
      <w:r>
        <w:rPr>
          <w:rFonts w:hint="eastAsia" w:ascii="宋体" w:hAnsi="宋体" w:cs="宋体"/>
          <w:b/>
          <w:bCs/>
          <w:sz w:val="28"/>
          <w:szCs w:val="28"/>
          <w:highlight w:val="none"/>
        </w:rPr>
        <w:t>9-2营业执照（所有联合体成员）</w:t>
      </w:r>
    </w:p>
    <w:p>
      <w:pPr>
        <w:shd w:val="clear"/>
        <w:tabs>
          <w:tab w:val="left" w:pos="1470"/>
        </w:tabs>
        <w:spacing w:line="440" w:lineRule="exact"/>
        <w:jc w:val="center"/>
        <w:rPr>
          <w:rFonts w:ascii="宋体" w:hAnsi="宋体" w:cs="宋体"/>
          <w:b/>
          <w:bCs/>
          <w:sz w:val="30"/>
          <w:highlight w:val="none"/>
        </w:rPr>
      </w:pPr>
      <w:r>
        <w:rPr>
          <w:rFonts w:hint="eastAsia" w:ascii="宋体" w:hAnsi="宋体" w:cs="宋体"/>
          <w:b/>
          <w:bCs/>
          <w:sz w:val="30"/>
          <w:highlight w:val="none"/>
        </w:rPr>
        <w:t>（</w:t>
      </w:r>
      <w:r>
        <w:rPr>
          <w:rFonts w:hint="eastAsia" w:ascii="宋体" w:hAnsi="宋体" w:cs="宋体"/>
          <w:sz w:val="24"/>
          <w:highlight w:val="none"/>
        </w:rPr>
        <w:t>有效的营业执照加盖投标人公章的复印件</w:t>
      </w:r>
      <w:r>
        <w:rPr>
          <w:rFonts w:hint="eastAsia" w:ascii="宋体" w:hAnsi="宋体" w:cs="宋体"/>
          <w:b/>
          <w:bCs/>
          <w:sz w:val="30"/>
          <w:highlight w:val="none"/>
        </w:rPr>
        <w:t>）</w:t>
      </w:r>
    </w:p>
    <w:p>
      <w:pPr>
        <w:shd w:val="clear"/>
        <w:tabs>
          <w:tab w:val="left" w:pos="1470"/>
        </w:tabs>
        <w:spacing w:line="440" w:lineRule="exact"/>
        <w:jc w:val="center"/>
        <w:rPr>
          <w:rFonts w:ascii="宋体" w:hAnsi="宋体" w:cs="宋体"/>
          <w:b/>
          <w:bCs/>
          <w:sz w:val="30"/>
          <w:highlight w:val="none"/>
        </w:rPr>
      </w:pPr>
    </w:p>
    <w:p>
      <w:pPr>
        <w:shd w:val="clear"/>
        <w:tabs>
          <w:tab w:val="left" w:pos="1470"/>
        </w:tabs>
        <w:spacing w:line="440" w:lineRule="exact"/>
        <w:jc w:val="center"/>
        <w:rPr>
          <w:rFonts w:ascii="宋体" w:hAnsi="宋体" w:cs="宋体"/>
          <w:b/>
          <w:bCs/>
          <w:sz w:val="30"/>
          <w:highlight w:val="none"/>
        </w:rPr>
      </w:pPr>
      <w:r>
        <w:rPr>
          <w:rFonts w:hint="eastAsia" w:ascii="宋体" w:hAnsi="宋体" w:cs="宋体"/>
          <w:b/>
          <w:bCs/>
          <w:sz w:val="28"/>
          <w:szCs w:val="28"/>
          <w:highlight w:val="none"/>
        </w:rPr>
        <w:t>9-3机电设备安装（或总承包）资质证书</w:t>
      </w:r>
    </w:p>
    <w:p>
      <w:pPr>
        <w:shd w:val="clear"/>
        <w:tabs>
          <w:tab w:val="left" w:pos="1470"/>
        </w:tabs>
        <w:spacing w:line="440" w:lineRule="exact"/>
        <w:jc w:val="center"/>
        <w:rPr>
          <w:rFonts w:ascii="宋体" w:hAnsi="宋体" w:cs="宋体"/>
          <w:b/>
          <w:bCs/>
          <w:sz w:val="30"/>
          <w:highlight w:val="none"/>
        </w:rPr>
      </w:pPr>
      <w:r>
        <w:rPr>
          <w:rFonts w:hint="eastAsia" w:ascii="宋体" w:hAnsi="宋体" w:cs="宋体"/>
          <w:b/>
          <w:bCs/>
          <w:sz w:val="30"/>
          <w:highlight w:val="none"/>
        </w:rPr>
        <w:t>（</w:t>
      </w:r>
      <w:r>
        <w:rPr>
          <w:rFonts w:hint="eastAsia" w:ascii="宋体" w:hAnsi="宋体" w:cs="宋体"/>
          <w:sz w:val="24"/>
          <w:highlight w:val="none"/>
        </w:rPr>
        <w:t>有效的证书加盖投标人公章的复印件</w:t>
      </w:r>
      <w:r>
        <w:rPr>
          <w:rFonts w:hint="eastAsia" w:ascii="宋体" w:hAnsi="宋体" w:cs="宋体"/>
          <w:b/>
          <w:bCs/>
          <w:sz w:val="30"/>
          <w:highlight w:val="none"/>
        </w:rPr>
        <w:t>）</w:t>
      </w:r>
    </w:p>
    <w:p>
      <w:pPr>
        <w:shd w:val="clear"/>
        <w:tabs>
          <w:tab w:val="left" w:pos="1470"/>
        </w:tabs>
        <w:spacing w:line="440" w:lineRule="exact"/>
        <w:jc w:val="center"/>
        <w:rPr>
          <w:rFonts w:ascii="宋体" w:hAnsi="宋体" w:cs="宋体"/>
          <w:b/>
          <w:bCs/>
          <w:sz w:val="30"/>
          <w:highlight w:val="none"/>
        </w:rPr>
      </w:pPr>
    </w:p>
    <w:p>
      <w:pPr>
        <w:shd w:val="clear"/>
        <w:tabs>
          <w:tab w:val="left" w:pos="1470"/>
        </w:tabs>
        <w:spacing w:line="440" w:lineRule="exact"/>
        <w:jc w:val="center"/>
        <w:rPr>
          <w:rFonts w:ascii="宋体" w:hAnsi="宋体" w:cs="宋体"/>
          <w:b/>
          <w:bCs/>
          <w:sz w:val="28"/>
          <w:szCs w:val="28"/>
          <w:highlight w:val="none"/>
        </w:rPr>
      </w:pPr>
      <w:r>
        <w:rPr>
          <w:rFonts w:hint="eastAsia" w:ascii="宋体" w:hAnsi="宋体" w:cs="宋体"/>
          <w:b/>
          <w:bCs/>
          <w:sz w:val="28"/>
          <w:szCs w:val="28"/>
          <w:highlight w:val="none"/>
        </w:rPr>
        <w:t>投标须知前附表第3点投标人资格要求的其他资料</w:t>
      </w: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28"/>
          <w:szCs w:val="28"/>
          <w:highlight w:val="none"/>
        </w:rPr>
      </w:pPr>
      <w:r>
        <w:rPr>
          <w:rFonts w:hint="eastAsia" w:ascii="宋体" w:hAnsi="宋体" w:cs="宋体"/>
          <w:b/>
          <w:bCs/>
          <w:sz w:val="28"/>
          <w:szCs w:val="28"/>
          <w:highlight w:val="none"/>
        </w:rPr>
        <w:t>9-4拟派项目经理证书</w:t>
      </w:r>
    </w:p>
    <w:p>
      <w:pPr>
        <w:shd w:val="clear"/>
        <w:adjustRightInd w:val="0"/>
        <w:snapToGrid w:val="0"/>
        <w:spacing w:line="440" w:lineRule="exact"/>
        <w:jc w:val="center"/>
        <w:rPr>
          <w:rFonts w:ascii="宋体" w:hAnsi="宋体" w:cs="宋体"/>
          <w:b/>
          <w:bCs/>
          <w:sz w:val="30"/>
          <w:highlight w:val="none"/>
        </w:rPr>
      </w:pPr>
      <w:r>
        <w:rPr>
          <w:rFonts w:hint="eastAsia" w:ascii="宋体" w:hAnsi="宋体" w:cs="宋体"/>
          <w:b/>
          <w:bCs/>
          <w:sz w:val="30"/>
          <w:highlight w:val="none"/>
        </w:rPr>
        <w:t>（</w:t>
      </w:r>
      <w:r>
        <w:rPr>
          <w:rFonts w:hint="eastAsia" w:ascii="宋体" w:hAnsi="宋体" w:cs="宋体"/>
          <w:sz w:val="24"/>
          <w:highlight w:val="none"/>
        </w:rPr>
        <w:t>有效的证书加盖投标人公章的复印件</w:t>
      </w:r>
      <w:r>
        <w:rPr>
          <w:rFonts w:hint="eastAsia" w:ascii="宋体" w:hAnsi="宋体" w:cs="宋体"/>
          <w:b/>
          <w:bCs/>
          <w:sz w:val="30"/>
          <w:highlight w:val="none"/>
        </w:rPr>
        <w:t>）</w:t>
      </w:r>
    </w:p>
    <w:p>
      <w:pPr>
        <w:shd w:val="clear"/>
        <w:adjustRightInd w:val="0"/>
        <w:snapToGrid w:val="0"/>
        <w:spacing w:line="440" w:lineRule="exact"/>
        <w:jc w:val="center"/>
        <w:rPr>
          <w:rFonts w:ascii="宋体" w:hAnsi="宋体" w:cs="宋体"/>
          <w:b/>
          <w:bCs/>
          <w:sz w:val="30"/>
          <w:highlight w:val="none"/>
        </w:rPr>
      </w:pPr>
    </w:p>
    <w:p>
      <w:pPr>
        <w:shd w:val="clear"/>
        <w:adjustRightInd w:val="0"/>
        <w:snapToGrid w:val="0"/>
        <w:spacing w:line="440" w:lineRule="exact"/>
        <w:rPr>
          <w:rFonts w:ascii="宋体" w:hAnsi="宋体" w:cs="宋体"/>
          <w:b/>
          <w:bCs/>
          <w:sz w:val="30"/>
          <w:highlight w:val="none"/>
        </w:rPr>
      </w:pPr>
    </w:p>
    <w:p>
      <w:pPr>
        <w:shd w:val="clear"/>
        <w:adjustRightInd w:val="0"/>
        <w:snapToGrid w:val="0"/>
        <w:spacing w:line="440" w:lineRule="exact"/>
        <w:jc w:val="center"/>
        <w:rPr>
          <w:rFonts w:ascii="宋体" w:hAnsi="宋体" w:cs="宋体"/>
          <w:b/>
          <w:bCs/>
          <w:sz w:val="28"/>
          <w:szCs w:val="28"/>
          <w:highlight w:val="none"/>
        </w:rPr>
      </w:pPr>
      <w:r>
        <w:rPr>
          <w:rFonts w:hint="eastAsia" w:ascii="宋体" w:hAnsi="宋体" w:cs="宋体"/>
          <w:b/>
          <w:bCs/>
          <w:sz w:val="28"/>
          <w:szCs w:val="28"/>
          <w:highlight w:val="none"/>
        </w:rPr>
        <w:t>9-5类似项目业绩</w:t>
      </w:r>
    </w:p>
    <w:p>
      <w:pPr>
        <w:shd w:val="clear"/>
        <w:adjustRightInd w:val="0"/>
        <w:snapToGrid w:val="0"/>
        <w:spacing w:line="440" w:lineRule="exact"/>
        <w:jc w:val="center"/>
        <w:rPr>
          <w:rFonts w:ascii="宋体" w:hAnsi="宋体" w:cs="宋体"/>
          <w:b/>
          <w:bCs/>
          <w:sz w:val="30"/>
          <w:highlight w:val="none"/>
        </w:rPr>
      </w:pPr>
      <w:r>
        <w:rPr>
          <w:rFonts w:hint="eastAsia" w:ascii="宋体" w:hAnsi="宋体" w:cs="宋体"/>
          <w:sz w:val="24"/>
          <w:highlight w:val="none"/>
        </w:rPr>
        <w:t>（合同加盖投标人公章的复印件）</w:t>
      </w:r>
    </w:p>
    <w:p>
      <w:pPr>
        <w:shd w:val="clear"/>
        <w:adjustRightInd w:val="0"/>
        <w:snapToGrid w:val="0"/>
        <w:spacing w:line="440" w:lineRule="exact"/>
        <w:ind w:firstLine="600"/>
        <w:jc w:val="center"/>
        <w:rPr>
          <w:rFonts w:ascii="宋体" w:hAnsi="宋体" w:cs="宋体"/>
          <w:b/>
          <w:bCs/>
          <w:sz w:val="30"/>
          <w:highlight w:val="none"/>
        </w:rPr>
      </w:pPr>
    </w:p>
    <w:p>
      <w:pPr>
        <w:shd w:val="clear"/>
        <w:adjustRightInd w:val="0"/>
        <w:snapToGrid w:val="0"/>
        <w:spacing w:line="440" w:lineRule="exact"/>
        <w:jc w:val="center"/>
        <w:rPr>
          <w:rFonts w:ascii="宋体" w:hAnsi="宋体" w:cs="宋体"/>
          <w:b/>
          <w:bCs/>
          <w:sz w:val="30"/>
          <w:highlight w:val="none"/>
        </w:rPr>
      </w:pPr>
    </w:p>
    <w:p>
      <w:pPr>
        <w:shd w:val="clear"/>
        <w:spacing w:line="440" w:lineRule="exact"/>
        <w:jc w:val="center"/>
        <w:rPr>
          <w:rFonts w:ascii="宋体" w:hAnsi="宋体" w:cs="宋体"/>
          <w:b/>
          <w:bCs/>
          <w:sz w:val="30"/>
          <w:highlight w:val="none"/>
        </w:rPr>
      </w:pPr>
      <w:r>
        <w:rPr>
          <w:rFonts w:hint="eastAsia" w:ascii="宋体" w:hAnsi="宋体" w:cs="宋体"/>
          <w:kern w:val="44"/>
          <w:highlight w:val="none"/>
        </w:rPr>
        <w:br w:type="page"/>
      </w:r>
      <w:r>
        <w:rPr>
          <w:rFonts w:hint="eastAsia" w:ascii="宋体" w:hAnsi="宋体" w:cs="宋体"/>
          <w:b/>
          <w:bCs/>
          <w:sz w:val="28"/>
          <w:szCs w:val="28"/>
          <w:highlight w:val="none"/>
        </w:rPr>
        <w:t>9-6投标人资格声明</w:t>
      </w:r>
    </w:p>
    <w:p>
      <w:pPr>
        <w:shd w:val="clear"/>
        <w:spacing w:line="440" w:lineRule="exact"/>
        <w:rPr>
          <w:rFonts w:ascii="宋体" w:hAnsi="宋体" w:cs="宋体"/>
          <w:sz w:val="24"/>
          <w:highlight w:val="none"/>
        </w:rPr>
      </w:pPr>
    </w:p>
    <w:p>
      <w:pPr>
        <w:shd w:val="clear"/>
        <w:spacing w:line="440" w:lineRule="exact"/>
        <w:rPr>
          <w:rFonts w:ascii="宋体" w:hAnsi="宋体" w:cs="宋体"/>
          <w:sz w:val="24"/>
          <w:highlight w:val="none"/>
        </w:rPr>
      </w:pPr>
      <w:r>
        <w:rPr>
          <w:rFonts w:hint="eastAsia" w:ascii="宋体" w:hAnsi="宋体" w:cs="宋体"/>
          <w:sz w:val="24"/>
          <w:highlight w:val="none"/>
        </w:rPr>
        <w:t>1、名称及概况：</w:t>
      </w:r>
    </w:p>
    <w:p>
      <w:pPr>
        <w:shd w:val="clear"/>
        <w:spacing w:line="440" w:lineRule="exact"/>
        <w:rPr>
          <w:rFonts w:ascii="宋体" w:hAnsi="宋体" w:cs="宋体"/>
          <w:sz w:val="24"/>
          <w:highlight w:val="none"/>
        </w:rPr>
      </w:pPr>
      <w:r>
        <w:rPr>
          <w:rFonts w:hint="eastAsia" w:ascii="宋体" w:hAnsi="宋体" w:cs="宋体"/>
          <w:sz w:val="24"/>
          <w:highlight w:val="none"/>
        </w:rPr>
        <w:t>（1）投标人名称：_______________________________</w:t>
      </w:r>
    </w:p>
    <w:p>
      <w:pPr>
        <w:shd w:val="clear"/>
        <w:spacing w:line="440" w:lineRule="exact"/>
        <w:rPr>
          <w:rFonts w:ascii="宋体" w:hAnsi="宋体" w:cs="宋体"/>
          <w:sz w:val="24"/>
          <w:highlight w:val="none"/>
        </w:rPr>
      </w:pPr>
      <w:r>
        <w:rPr>
          <w:rFonts w:hint="eastAsia" w:ascii="宋体" w:hAnsi="宋体" w:cs="宋体"/>
          <w:sz w:val="24"/>
          <w:highlight w:val="none"/>
        </w:rPr>
        <w:t>（2）总部地址：_________________________________</w:t>
      </w:r>
    </w:p>
    <w:p>
      <w:pPr>
        <w:shd w:val="clear"/>
        <w:spacing w:line="440" w:lineRule="exact"/>
        <w:rPr>
          <w:rFonts w:ascii="宋体" w:hAnsi="宋体" w:cs="宋体"/>
          <w:sz w:val="24"/>
          <w:highlight w:val="none"/>
        </w:rPr>
      </w:pPr>
      <w:r>
        <w:rPr>
          <w:rFonts w:hint="eastAsia" w:ascii="宋体" w:hAnsi="宋体" w:cs="宋体"/>
          <w:sz w:val="24"/>
          <w:highlight w:val="none"/>
        </w:rPr>
        <w:t xml:space="preserve">    电传/传真/电话号码：________________________</w:t>
      </w:r>
    </w:p>
    <w:p>
      <w:pPr>
        <w:shd w:val="clear"/>
        <w:spacing w:line="440" w:lineRule="exact"/>
        <w:rPr>
          <w:rFonts w:ascii="宋体" w:hAnsi="宋体" w:cs="宋体"/>
          <w:sz w:val="24"/>
          <w:highlight w:val="none"/>
        </w:rPr>
      </w:pPr>
      <w:r>
        <w:rPr>
          <w:rFonts w:hint="eastAsia" w:ascii="宋体" w:hAnsi="宋体" w:cs="宋体"/>
          <w:sz w:val="24"/>
          <w:highlight w:val="none"/>
        </w:rPr>
        <w:t>（3）成立和/或注册日期：_________________________</w:t>
      </w:r>
    </w:p>
    <w:p>
      <w:pPr>
        <w:shd w:val="clear"/>
        <w:spacing w:line="440" w:lineRule="exact"/>
        <w:rPr>
          <w:rFonts w:ascii="宋体" w:hAnsi="宋体" w:cs="宋体"/>
          <w:sz w:val="24"/>
          <w:highlight w:val="none"/>
        </w:rPr>
      </w:pPr>
      <w:r>
        <w:rPr>
          <w:rFonts w:hint="eastAsia" w:ascii="宋体" w:hAnsi="宋体" w:cs="宋体"/>
          <w:sz w:val="24"/>
          <w:highlight w:val="none"/>
        </w:rPr>
        <w:t>（4）实收资本：_________________________________</w:t>
      </w:r>
    </w:p>
    <w:p>
      <w:pPr>
        <w:shd w:val="clear"/>
        <w:spacing w:line="440" w:lineRule="exact"/>
        <w:rPr>
          <w:rFonts w:ascii="宋体" w:hAnsi="宋体" w:cs="宋体"/>
          <w:sz w:val="24"/>
          <w:highlight w:val="none"/>
        </w:rPr>
      </w:pPr>
      <w:r>
        <w:rPr>
          <w:rFonts w:hint="eastAsia" w:ascii="宋体" w:hAnsi="宋体" w:cs="宋体"/>
          <w:sz w:val="24"/>
          <w:highlight w:val="none"/>
        </w:rPr>
        <w:t>（5）近期资产负债表（到___________年_______月________日止）</w:t>
      </w:r>
    </w:p>
    <w:p>
      <w:pPr>
        <w:shd w:val="clear"/>
        <w:spacing w:line="440" w:lineRule="exact"/>
        <w:rPr>
          <w:rFonts w:ascii="宋体" w:hAnsi="宋体" w:cs="宋体"/>
          <w:sz w:val="24"/>
          <w:highlight w:val="none"/>
        </w:rPr>
      </w:pPr>
      <w:r>
        <w:rPr>
          <w:rFonts w:hint="eastAsia" w:ascii="宋体" w:hAnsi="宋体" w:cs="宋体"/>
          <w:sz w:val="24"/>
          <w:highlight w:val="none"/>
        </w:rPr>
        <w:t>①固定资产：_________________</w:t>
      </w:r>
    </w:p>
    <w:p>
      <w:pPr>
        <w:shd w:val="clear"/>
        <w:spacing w:line="440" w:lineRule="exact"/>
        <w:rPr>
          <w:rFonts w:ascii="宋体" w:hAnsi="宋体" w:cs="宋体"/>
          <w:sz w:val="24"/>
          <w:highlight w:val="none"/>
        </w:rPr>
      </w:pPr>
      <w:r>
        <w:rPr>
          <w:rFonts w:hint="eastAsia" w:ascii="宋体" w:hAnsi="宋体" w:cs="宋体"/>
          <w:sz w:val="24"/>
          <w:highlight w:val="none"/>
        </w:rPr>
        <w:t>②流动资产：_________________</w:t>
      </w:r>
    </w:p>
    <w:p>
      <w:pPr>
        <w:shd w:val="clear"/>
        <w:spacing w:line="440" w:lineRule="exact"/>
        <w:rPr>
          <w:rFonts w:ascii="宋体" w:hAnsi="宋体" w:cs="宋体"/>
          <w:sz w:val="24"/>
          <w:highlight w:val="none"/>
        </w:rPr>
      </w:pPr>
      <w:r>
        <w:rPr>
          <w:rFonts w:hint="eastAsia" w:ascii="宋体" w:hAnsi="宋体" w:cs="宋体"/>
          <w:sz w:val="24"/>
          <w:highlight w:val="none"/>
        </w:rPr>
        <w:t>③长期负债：_________________</w:t>
      </w:r>
    </w:p>
    <w:p>
      <w:pPr>
        <w:shd w:val="clear"/>
        <w:spacing w:line="440" w:lineRule="exact"/>
        <w:rPr>
          <w:rFonts w:ascii="宋体" w:hAnsi="宋体" w:cs="宋体"/>
          <w:sz w:val="24"/>
          <w:highlight w:val="none"/>
        </w:rPr>
      </w:pPr>
      <w:r>
        <w:rPr>
          <w:rFonts w:hint="eastAsia" w:ascii="宋体" w:hAnsi="宋体" w:cs="宋体"/>
          <w:sz w:val="24"/>
          <w:highlight w:val="none"/>
        </w:rPr>
        <w:t>④流动负债：_________________</w:t>
      </w:r>
    </w:p>
    <w:p>
      <w:pPr>
        <w:shd w:val="clear"/>
        <w:spacing w:line="440" w:lineRule="exact"/>
        <w:rPr>
          <w:rFonts w:ascii="宋体" w:hAnsi="宋体" w:cs="宋体"/>
          <w:sz w:val="24"/>
          <w:highlight w:val="none"/>
        </w:rPr>
      </w:pPr>
      <w:r>
        <w:rPr>
          <w:rFonts w:hint="eastAsia" w:ascii="宋体" w:hAnsi="宋体" w:cs="宋体"/>
          <w:sz w:val="24"/>
          <w:highlight w:val="none"/>
        </w:rPr>
        <w:t>⑤净值：_____________________</w:t>
      </w:r>
    </w:p>
    <w:p>
      <w:pPr>
        <w:shd w:val="clear"/>
        <w:spacing w:line="440" w:lineRule="exact"/>
        <w:rPr>
          <w:rFonts w:ascii="宋体" w:hAnsi="宋体" w:cs="宋体"/>
          <w:sz w:val="24"/>
          <w:highlight w:val="none"/>
        </w:rPr>
      </w:pPr>
      <w:r>
        <w:rPr>
          <w:rFonts w:hint="eastAsia" w:ascii="宋体" w:hAnsi="宋体" w:cs="宋体"/>
          <w:sz w:val="24"/>
          <w:highlight w:val="none"/>
        </w:rPr>
        <w:t>（6）法人姓名：_________________________</w:t>
      </w:r>
    </w:p>
    <w:p>
      <w:pPr>
        <w:shd w:val="clear"/>
        <w:spacing w:line="440" w:lineRule="exact"/>
        <w:rPr>
          <w:rFonts w:ascii="宋体" w:hAnsi="宋体" w:cs="宋体"/>
          <w:sz w:val="24"/>
          <w:highlight w:val="none"/>
        </w:rPr>
      </w:pPr>
    </w:p>
    <w:p>
      <w:pPr>
        <w:shd w:val="clear"/>
        <w:spacing w:line="440" w:lineRule="exact"/>
        <w:rPr>
          <w:rFonts w:ascii="宋体" w:hAnsi="宋体" w:cs="宋体"/>
          <w:sz w:val="24"/>
          <w:highlight w:val="none"/>
        </w:rPr>
      </w:pPr>
    </w:p>
    <w:p>
      <w:pPr>
        <w:shd w:val="clear"/>
        <w:spacing w:line="440" w:lineRule="exact"/>
        <w:rPr>
          <w:rFonts w:ascii="宋体" w:hAnsi="宋体" w:cs="宋体"/>
          <w:sz w:val="24"/>
          <w:highlight w:val="none"/>
        </w:rPr>
      </w:pPr>
      <w:r>
        <w:rPr>
          <w:rFonts w:hint="eastAsia" w:ascii="宋体" w:hAnsi="宋体" w:cs="宋体"/>
          <w:sz w:val="24"/>
          <w:highlight w:val="none"/>
        </w:rPr>
        <w:t>2、投标人相应矿石加工行业安装工程总承包或分项工程的施工经验(包括年限、额定能力、商业运营的起始日期等)：</w:t>
      </w:r>
    </w:p>
    <w:p>
      <w:pPr>
        <w:shd w:val="clear"/>
        <w:spacing w:line="440" w:lineRule="exact"/>
        <w:rPr>
          <w:rFonts w:ascii="宋体" w:hAnsi="宋体" w:cs="宋体"/>
          <w:sz w:val="24"/>
          <w:highlight w:val="none"/>
        </w:rPr>
      </w:pPr>
      <w:r>
        <w:rPr>
          <w:rFonts w:hint="eastAsia" w:ascii="宋体" w:hAnsi="宋体" w:cs="宋体"/>
          <w:sz w:val="24"/>
          <w:highlight w:val="none"/>
        </w:rPr>
        <w:t>兹证明上述声明是真实、正确的、并提供了全部能提供的资料和数据，我们同意遵照贵方要求出示有关证明文件。</w:t>
      </w:r>
    </w:p>
    <w:p>
      <w:pPr>
        <w:shd w:val="clear"/>
        <w:spacing w:line="440" w:lineRule="exact"/>
        <w:rPr>
          <w:rFonts w:ascii="宋体" w:hAnsi="宋体" w:cs="宋体"/>
          <w:sz w:val="24"/>
          <w:highlight w:val="none"/>
        </w:rPr>
      </w:pPr>
    </w:p>
    <w:p>
      <w:pPr>
        <w:shd w:val="clear"/>
        <w:spacing w:line="440" w:lineRule="exact"/>
        <w:rPr>
          <w:rFonts w:ascii="宋体" w:hAnsi="宋体" w:cs="宋体"/>
          <w:sz w:val="24"/>
          <w:highlight w:val="none"/>
        </w:rPr>
      </w:pPr>
      <w:r>
        <w:rPr>
          <w:rFonts w:hint="eastAsia" w:ascii="宋体" w:hAnsi="宋体" w:cs="宋体"/>
          <w:sz w:val="24"/>
          <w:highlight w:val="none"/>
        </w:rPr>
        <w:t>投标人名称：                          　　　　</w:t>
      </w:r>
    </w:p>
    <w:p>
      <w:pPr>
        <w:shd w:val="clear"/>
        <w:spacing w:line="440" w:lineRule="exact"/>
        <w:rPr>
          <w:rFonts w:ascii="宋体" w:hAnsi="宋体" w:cs="宋体"/>
          <w:sz w:val="24"/>
          <w:highlight w:val="none"/>
        </w:rPr>
      </w:pPr>
      <w:r>
        <w:rPr>
          <w:rFonts w:hint="eastAsia" w:ascii="宋体" w:hAnsi="宋体" w:cs="宋体"/>
          <w:sz w:val="24"/>
          <w:highlight w:val="none"/>
        </w:rPr>
        <w:t xml:space="preserve">法人或授权代表姓名和职务：                    </w:t>
      </w:r>
    </w:p>
    <w:p>
      <w:pPr>
        <w:shd w:val="clear"/>
        <w:spacing w:line="440" w:lineRule="exact"/>
        <w:rPr>
          <w:rFonts w:ascii="宋体" w:hAnsi="宋体" w:cs="宋体"/>
          <w:sz w:val="24"/>
          <w:highlight w:val="none"/>
        </w:rPr>
      </w:pPr>
      <w:r>
        <w:rPr>
          <w:rFonts w:hint="eastAsia" w:ascii="宋体" w:hAnsi="宋体" w:cs="宋体"/>
          <w:sz w:val="24"/>
          <w:highlight w:val="none"/>
        </w:rPr>
        <w:t xml:space="preserve">签字人签字： 　　　　                         </w:t>
      </w:r>
    </w:p>
    <w:p>
      <w:pPr>
        <w:shd w:val="clear"/>
        <w:spacing w:line="440" w:lineRule="exact"/>
        <w:rPr>
          <w:rFonts w:ascii="宋体" w:hAnsi="宋体" w:cs="宋体"/>
          <w:sz w:val="24"/>
          <w:highlight w:val="none"/>
        </w:rPr>
      </w:pPr>
      <w:r>
        <w:rPr>
          <w:rFonts w:hint="eastAsia" w:ascii="宋体" w:hAnsi="宋体" w:cs="宋体"/>
          <w:sz w:val="24"/>
          <w:highlight w:val="none"/>
        </w:rPr>
        <w:t xml:space="preserve">签字日期： 　　　　                           </w:t>
      </w:r>
    </w:p>
    <w:p>
      <w:pPr>
        <w:shd w:val="clear"/>
        <w:spacing w:line="440" w:lineRule="exact"/>
        <w:rPr>
          <w:rFonts w:ascii="宋体" w:hAnsi="宋体" w:cs="宋体"/>
          <w:sz w:val="24"/>
          <w:highlight w:val="none"/>
        </w:rPr>
      </w:pPr>
      <w:r>
        <w:rPr>
          <w:rFonts w:hint="eastAsia" w:ascii="宋体" w:hAnsi="宋体" w:cs="宋体"/>
          <w:sz w:val="24"/>
          <w:highlight w:val="none"/>
        </w:rPr>
        <w:t xml:space="preserve">传真： 　　　　                               </w:t>
      </w:r>
    </w:p>
    <w:p>
      <w:pPr>
        <w:shd w:val="clear"/>
        <w:spacing w:line="440" w:lineRule="exact"/>
        <w:rPr>
          <w:rFonts w:ascii="宋体" w:hAnsi="宋体" w:cs="宋体"/>
          <w:sz w:val="24"/>
          <w:highlight w:val="none"/>
        </w:rPr>
      </w:pPr>
      <w:r>
        <w:rPr>
          <w:rFonts w:hint="eastAsia" w:ascii="宋体" w:hAnsi="宋体" w:cs="宋体"/>
          <w:sz w:val="24"/>
          <w:highlight w:val="none"/>
        </w:rPr>
        <w:t xml:space="preserve">电话： 　　　　                               </w:t>
      </w:r>
    </w:p>
    <w:p>
      <w:pPr>
        <w:shd w:val="clear"/>
        <w:adjustRightInd w:val="0"/>
        <w:snapToGrid w:val="0"/>
        <w:spacing w:line="440" w:lineRule="exact"/>
        <w:rPr>
          <w:rFonts w:ascii="宋体" w:hAnsi="宋体" w:cs="宋体"/>
          <w:sz w:val="24"/>
          <w:highlight w:val="none"/>
        </w:rPr>
      </w:pPr>
      <w:r>
        <w:rPr>
          <w:rFonts w:hint="eastAsia" w:ascii="宋体" w:hAnsi="宋体" w:cs="宋体"/>
          <w:sz w:val="24"/>
          <w:highlight w:val="none"/>
        </w:rPr>
        <w:t>电子邮件：</w:t>
      </w:r>
    </w:p>
    <w:p>
      <w:pPr>
        <w:shd w:val="clear"/>
        <w:adjustRightInd w:val="0"/>
        <w:snapToGrid w:val="0"/>
        <w:spacing w:line="440" w:lineRule="exact"/>
        <w:jc w:val="center"/>
        <w:rPr>
          <w:rFonts w:ascii="宋体" w:hAnsi="宋体" w:cs="宋体"/>
          <w:b/>
          <w:bCs/>
          <w:sz w:val="28"/>
          <w:szCs w:val="28"/>
          <w:highlight w:val="none"/>
        </w:rPr>
      </w:pPr>
      <w:r>
        <w:rPr>
          <w:rFonts w:hint="eastAsia" w:ascii="宋体" w:hAnsi="宋体" w:cs="宋体"/>
          <w:sz w:val="24"/>
          <w:highlight w:val="none"/>
        </w:rPr>
        <w:br w:type="page"/>
      </w:r>
      <w:r>
        <w:rPr>
          <w:rFonts w:hint="eastAsia" w:ascii="宋体" w:hAnsi="宋体" w:cs="宋体"/>
          <w:b/>
          <w:bCs/>
          <w:sz w:val="28"/>
          <w:szCs w:val="28"/>
          <w:highlight w:val="none"/>
        </w:rPr>
        <w:t>9-7拟承担本项目主要管理、技术人员履历和技术工种主要人员</w:t>
      </w:r>
    </w:p>
    <w:p>
      <w:pPr>
        <w:shd w:val="clear"/>
        <w:adjustRightInd w:val="0"/>
        <w:snapToGrid w:val="0"/>
        <w:spacing w:line="440" w:lineRule="exact"/>
        <w:jc w:val="center"/>
        <w:rPr>
          <w:rFonts w:ascii="宋体" w:hAnsi="宋体" w:cs="宋体"/>
          <w:b/>
          <w:bCs/>
          <w:sz w:val="28"/>
          <w:szCs w:val="28"/>
          <w:highlight w:val="none"/>
        </w:rPr>
      </w:pPr>
      <w:r>
        <w:rPr>
          <w:rFonts w:hint="eastAsia" w:ascii="宋体" w:hAnsi="宋体" w:cs="宋体"/>
          <w:b/>
          <w:bCs/>
          <w:sz w:val="28"/>
          <w:szCs w:val="28"/>
          <w:highlight w:val="none"/>
        </w:rPr>
        <w:t>配备表</w:t>
      </w:r>
    </w:p>
    <w:p>
      <w:pPr>
        <w:shd w:val="clear"/>
        <w:adjustRightInd w:val="0"/>
        <w:snapToGrid w:val="0"/>
        <w:spacing w:line="440" w:lineRule="exact"/>
        <w:rPr>
          <w:rFonts w:ascii="宋体" w:hAnsi="宋体" w:cs="宋体"/>
          <w:sz w:val="24"/>
          <w:highlight w:val="none"/>
        </w:rPr>
      </w:pPr>
    </w:p>
    <w:p>
      <w:pPr>
        <w:shd w:val="clear"/>
        <w:adjustRightInd w:val="0"/>
        <w:snapToGrid w:val="0"/>
        <w:spacing w:line="440" w:lineRule="exact"/>
        <w:rPr>
          <w:rFonts w:ascii="宋体" w:hAnsi="宋体" w:cs="宋体"/>
          <w:sz w:val="24"/>
          <w:szCs w:val="24"/>
          <w:highlight w:val="none"/>
        </w:rPr>
      </w:pPr>
      <w:r>
        <w:rPr>
          <w:rFonts w:hint="eastAsia" w:ascii="宋体" w:hAnsi="宋体" w:cs="宋体"/>
          <w:sz w:val="24"/>
          <w:szCs w:val="24"/>
          <w:highlight w:val="none"/>
        </w:rPr>
        <w:t>表1　　　　　　　　　　拟承担本项目的项目经理简历表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553"/>
        <w:gridCol w:w="1561"/>
        <w:gridCol w:w="1554"/>
        <w:gridCol w:w="1561"/>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姓名</w:t>
            </w:r>
          </w:p>
        </w:tc>
        <w:tc>
          <w:tcPr>
            <w:tcW w:w="1553" w:type="dxa"/>
            <w:vAlign w:val="center"/>
          </w:tcPr>
          <w:p>
            <w:pPr>
              <w:shd w:val="clear"/>
              <w:adjustRightInd w:val="0"/>
              <w:snapToGrid w:val="0"/>
              <w:spacing w:line="440" w:lineRule="exact"/>
              <w:jc w:val="center"/>
              <w:rPr>
                <w:rFonts w:ascii="宋体" w:hAnsi="宋体" w:cs="宋体"/>
                <w:sz w:val="24"/>
                <w:szCs w:val="24"/>
                <w:highlight w:val="none"/>
              </w:rPr>
            </w:pPr>
          </w:p>
        </w:tc>
        <w:tc>
          <w:tcPr>
            <w:tcW w:w="1561" w:type="dxa"/>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性别</w:t>
            </w:r>
          </w:p>
        </w:tc>
        <w:tc>
          <w:tcPr>
            <w:tcW w:w="1554" w:type="dxa"/>
            <w:vAlign w:val="center"/>
          </w:tcPr>
          <w:p>
            <w:pPr>
              <w:shd w:val="clear"/>
              <w:adjustRightInd w:val="0"/>
              <w:snapToGrid w:val="0"/>
              <w:spacing w:line="440" w:lineRule="exact"/>
              <w:jc w:val="center"/>
              <w:rPr>
                <w:rFonts w:ascii="宋体" w:hAnsi="宋体" w:cs="宋体"/>
                <w:sz w:val="24"/>
                <w:szCs w:val="24"/>
                <w:highlight w:val="none"/>
              </w:rPr>
            </w:pPr>
          </w:p>
        </w:tc>
        <w:tc>
          <w:tcPr>
            <w:tcW w:w="1561" w:type="dxa"/>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年龄</w:t>
            </w:r>
          </w:p>
        </w:tc>
        <w:tc>
          <w:tcPr>
            <w:tcW w:w="1554" w:type="dxa"/>
            <w:vAlign w:val="center"/>
          </w:tcPr>
          <w:p>
            <w:pPr>
              <w:shd w:val="clear"/>
              <w:adjustRightInd w:val="0"/>
              <w:snapToGrid w:val="0"/>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职务</w:t>
            </w:r>
          </w:p>
        </w:tc>
        <w:tc>
          <w:tcPr>
            <w:tcW w:w="1553" w:type="dxa"/>
            <w:vAlign w:val="center"/>
          </w:tcPr>
          <w:p>
            <w:pPr>
              <w:shd w:val="clear"/>
              <w:adjustRightInd w:val="0"/>
              <w:snapToGrid w:val="0"/>
              <w:spacing w:line="440" w:lineRule="exact"/>
              <w:jc w:val="center"/>
              <w:rPr>
                <w:rFonts w:ascii="宋体" w:hAnsi="宋体" w:cs="宋体"/>
                <w:sz w:val="24"/>
                <w:szCs w:val="24"/>
                <w:highlight w:val="none"/>
              </w:rPr>
            </w:pPr>
          </w:p>
        </w:tc>
        <w:tc>
          <w:tcPr>
            <w:tcW w:w="1561" w:type="dxa"/>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职称</w:t>
            </w:r>
          </w:p>
        </w:tc>
        <w:tc>
          <w:tcPr>
            <w:tcW w:w="1554" w:type="dxa"/>
            <w:vAlign w:val="center"/>
          </w:tcPr>
          <w:p>
            <w:pPr>
              <w:shd w:val="clear"/>
              <w:adjustRightInd w:val="0"/>
              <w:snapToGrid w:val="0"/>
              <w:spacing w:line="440" w:lineRule="exact"/>
              <w:jc w:val="center"/>
              <w:rPr>
                <w:rFonts w:ascii="宋体" w:hAnsi="宋体" w:cs="宋体"/>
                <w:sz w:val="24"/>
                <w:szCs w:val="24"/>
                <w:highlight w:val="none"/>
              </w:rPr>
            </w:pPr>
          </w:p>
        </w:tc>
        <w:tc>
          <w:tcPr>
            <w:tcW w:w="1561" w:type="dxa"/>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学历</w:t>
            </w:r>
          </w:p>
        </w:tc>
        <w:tc>
          <w:tcPr>
            <w:tcW w:w="1554" w:type="dxa"/>
            <w:vAlign w:val="center"/>
          </w:tcPr>
          <w:p>
            <w:pPr>
              <w:shd w:val="clear"/>
              <w:adjustRightInd w:val="0"/>
              <w:snapToGrid w:val="0"/>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13" w:type="dxa"/>
            <w:gridSpan w:val="2"/>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毕业院校</w:t>
            </w:r>
          </w:p>
        </w:tc>
        <w:tc>
          <w:tcPr>
            <w:tcW w:w="1561" w:type="dxa"/>
            <w:vAlign w:val="center"/>
          </w:tcPr>
          <w:p>
            <w:pPr>
              <w:shd w:val="clear"/>
              <w:adjustRightInd w:val="0"/>
              <w:snapToGrid w:val="0"/>
              <w:spacing w:line="440" w:lineRule="exact"/>
              <w:jc w:val="center"/>
              <w:rPr>
                <w:rFonts w:ascii="宋体" w:hAnsi="宋体" w:cs="宋体"/>
                <w:sz w:val="24"/>
                <w:szCs w:val="24"/>
                <w:highlight w:val="none"/>
              </w:rPr>
            </w:pPr>
          </w:p>
        </w:tc>
        <w:tc>
          <w:tcPr>
            <w:tcW w:w="3115" w:type="dxa"/>
            <w:gridSpan w:val="2"/>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参加工作时间</w:t>
            </w:r>
          </w:p>
        </w:tc>
        <w:tc>
          <w:tcPr>
            <w:tcW w:w="1554" w:type="dxa"/>
            <w:vAlign w:val="center"/>
          </w:tcPr>
          <w:p>
            <w:pPr>
              <w:shd w:val="clear"/>
              <w:adjustRightInd w:val="0"/>
              <w:snapToGrid w:val="0"/>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3113" w:type="dxa"/>
            <w:gridSpan w:val="2"/>
            <w:tcBorders>
              <w:bottom w:val="single" w:color="auto" w:sz="4" w:space="0"/>
            </w:tcBorders>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主要经历及承担过的类似项目</w:t>
            </w:r>
          </w:p>
        </w:tc>
        <w:tc>
          <w:tcPr>
            <w:tcW w:w="6230" w:type="dxa"/>
            <w:gridSpan w:val="4"/>
            <w:tcBorders>
              <w:bottom w:val="single" w:color="auto" w:sz="4" w:space="0"/>
            </w:tcBorders>
            <w:vAlign w:val="center"/>
          </w:tcPr>
          <w:p>
            <w:pPr>
              <w:shd w:val="clear"/>
              <w:adjustRightInd w:val="0"/>
              <w:snapToGrid w:val="0"/>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3113" w:type="dxa"/>
            <w:gridSpan w:val="2"/>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资格情况（附证书）</w:t>
            </w:r>
          </w:p>
        </w:tc>
        <w:tc>
          <w:tcPr>
            <w:tcW w:w="3115" w:type="dxa"/>
            <w:gridSpan w:val="2"/>
            <w:vAlign w:val="center"/>
          </w:tcPr>
          <w:p>
            <w:pPr>
              <w:shd w:val="clear"/>
              <w:adjustRightInd w:val="0"/>
              <w:snapToGrid w:val="0"/>
              <w:spacing w:line="440" w:lineRule="exact"/>
              <w:jc w:val="center"/>
              <w:rPr>
                <w:rFonts w:ascii="宋体" w:hAnsi="宋体" w:cs="宋体"/>
                <w:sz w:val="24"/>
                <w:szCs w:val="24"/>
                <w:highlight w:val="none"/>
              </w:rPr>
            </w:pPr>
          </w:p>
        </w:tc>
        <w:tc>
          <w:tcPr>
            <w:tcW w:w="1561" w:type="dxa"/>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从事项目</w:t>
            </w:r>
          </w:p>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经理年限</w:t>
            </w:r>
          </w:p>
        </w:tc>
        <w:tc>
          <w:tcPr>
            <w:tcW w:w="1554" w:type="dxa"/>
            <w:vAlign w:val="center"/>
          </w:tcPr>
          <w:p>
            <w:pPr>
              <w:shd w:val="clear"/>
              <w:adjustRightInd w:val="0"/>
              <w:snapToGrid w:val="0"/>
              <w:spacing w:line="440" w:lineRule="exact"/>
              <w:jc w:val="center"/>
              <w:rPr>
                <w:rFonts w:ascii="宋体" w:hAnsi="宋体" w:cs="宋体"/>
                <w:sz w:val="24"/>
                <w:szCs w:val="24"/>
                <w:highlight w:val="none"/>
              </w:rPr>
            </w:pPr>
          </w:p>
        </w:tc>
      </w:tr>
    </w:tbl>
    <w:p>
      <w:pPr>
        <w:shd w:val="clear"/>
        <w:adjustRightInd w:val="0"/>
        <w:snapToGrid w:val="0"/>
        <w:spacing w:line="440" w:lineRule="exact"/>
        <w:rPr>
          <w:rFonts w:ascii="宋体" w:hAnsi="宋体" w:cs="宋体"/>
          <w:sz w:val="24"/>
          <w:szCs w:val="24"/>
          <w:highlight w:val="none"/>
        </w:rPr>
      </w:pPr>
    </w:p>
    <w:p>
      <w:pPr>
        <w:shd w:val="clear"/>
        <w:adjustRightInd w:val="0"/>
        <w:snapToGrid w:val="0"/>
        <w:spacing w:line="440" w:lineRule="exact"/>
        <w:rPr>
          <w:rFonts w:ascii="宋体" w:hAnsi="宋体" w:cs="宋体"/>
          <w:sz w:val="24"/>
          <w:szCs w:val="24"/>
          <w:highlight w:val="none"/>
        </w:rPr>
      </w:pPr>
      <w:r>
        <w:rPr>
          <w:rFonts w:hint="eastAsia" w:ascii="宋体" w:hAnsi="宋体" w:cs="宋体"/>
          <w:sz w:val="24"/>
          <w:szCs w:val="24"/>
          <w:highlight w:val="none"/>
        </w:rPr>
        <w:t>表2　　　　　　　　　　拟用于本项目的主要施工管理人员表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507"/>
        <w:gridCol w:w="1506"/>
        <w:gridCol w:w="1507"/>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系统名称</w:t>
            </w:r>
          </w:p>
        </w:tc>
        <w:tc>
          <w:tcPr>
            <w:tcW w:w="1507" w:type="dxa"/>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姓名</w:t>
            </w:r>
          </w:p>
        </w:tc>
        <w:tc>
          <w:tcPr>
            <w:tcW w:w="1506" w:type="dxa"/>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职务</w:t>
            </w:r>
          </w:p>
        </w:tc>
        <w:tc>
          <w:tcPr>
            <w:tcW w:w="1507" w:type="dxa"/>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职称</w:t>
            </w:r>
          </w:p>
        </w:tc>
        <w:tc>
          <w:tcPr>
            <w:tcW w:w="3316" w:type="dxa"/>
            <w:vAlign w:val="center"/>
          </w:tcPr>
          <w:p>
            <w:pPr>
              <w:shd w:val="clear"/>
              <w:adjustRightInd w:val="0"/>
              <w:snapToGrid w:val="0"/>
              <w:spacing w:line="440" w:lineRule="exact"/>
              <w:jc w:val="center"/>
              <w:rPr>
                <w:rFonts w:ascii="宋体" w:hAnsi="宋体" w:cs="宋体"/>
                <w:sz w:val="24"/>
                <w:szCs w:val="24"/>
                <w:highlight w:val="none"/>
              </w:rPr>
            </w:pPr>
            <w:r>
              <w:rPr>
                <w:rFonts w:hint="eastAsia" w:ascii="宋体" w:hAnsi="宋体" w:cs="宋体"/>
                <w:sz w:val="24"/>
                <w:szCs w:val="24"/>
                <w:highlight w:val="none"/>
              </w:rPr>
              <w:t>主要经历及承担过的类似项目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shd w:val="clear"/>
              <w:adjustRightInd w:val="0"/>
              <w:snapToGrid w:val="0"/>
              <w:spacing w:line="440" w:lineRule="exact"/>
              <w:jc w:val="center"/>
              <w:rPr>
                <w:rFonts w:ascii="宋体" w:hAnsi="宋体" w:cs="宋体"/>
                <w:sz w:val="24"/>
                <w:szCs w:val="24"/>
                <w:highlight w:val="none"/>
              </w:rPr>
            </w:pPr>
          </w:p>
        </w:tc>
        <w:tc>
          <w:tcPr>
            <w:tcW w:w="1507" w:type="dxa"/>
            <w:vAlign w:val="center"/>
          </w:tcPr>
          <w:p>
            <w:pPr>
              <w:shd w:val="clear"/>
              <w:adjustRightInd w:val="0"/>
              <w:snapToGrid w:val="0"/>
              <w:spacing w:line="440" w:lineRule="exact"/>
              <w:jc w:val="center"/>
              <w:rPr>
                <w:rFonts w:ascii="宋体" w:hAnsi="宋体" w:cs="宋体"/>
                <w:sz w:val="24"/>
                <w:szCs w:val="24"/>
                <w:highlight w:val="none"/>
              </w:rPr>
            </w:pPr>
          </w:p>
        </w:tc>
        <w:tc>
          <w:tcPr>
            <w:tcW w:w="1506" w:type="dxa"/>
            <w:vAlign w:val="center"/>
          </w:tcPr>
          <w:p>
            <w:pPr>
              <w:shd w:val="clear"/>
              <w:adjustRightInd w:val="0"/>
              <w:snapToGrid w:val="0"/>
              <w:spacing w:line="440" w:lineRule="exact"/>
              <w:jc w:val="center"/>
              <w:rPr>
                <w:rFonts w:ascii="宋体" w:hAnsi="宋体" w:cs="宋体"/>
                <w:sz w:val="24"/>
                <w:szCs w:val="24"/>
                <w:highlight w:val="none"/>
              </w:rPr>
            </w:pPr>
          </w:p>
        </w:tc>
        <w:tc>
          <w:tcPr>
            <w:tcW w:w="1507" w:type="dxa"/>
            <w:vAlign w:val="center"/>
          </w:tcPr>
          <w:p>
            <w:pPr>
              <w:shd w:val="clear"/>
              <w:adjustRightInd w:val="0"/>
              <w:snapToGrid w:val="0"/>
              <w:spacing w:line="440" w:lineRule="exact"/>
              <w:jc w:val="center"/>
              <w:rPr>
                <w:rFonts w:ascii="宋体" w:hAnsi="宋体" w:cs="宋体"/>
                <w:sz w:val="24"/>
                <w:szCs w:val="24"/>
                <w:highlight w:val="none"/>
              </w:rPr>
            </w:pPr>
          </w:p>
        </w:tc>
        <w:tc>
          <w:tcPr>
            <w:tcW w:w="3316" w:type="dxa"/>
            <w:vAlign w:val="center"/>
          </w:tcPr>
          <w:p>
            <w:pPr>
              <w:shd w:val="clear"/>
              <w:adjustRightInd w:val="0"/>
              <w:snapToGrid w:val="0"/>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shd w:val="clear"/>
              <w:adjustRightInd w:val="0"/>
              <w:snapToGrid w:val="0"/>
              <w:spacing w:line="440" w:lineRule="exact"/>
              <w:jc w:val="center"/>
              <w:rPr>
                <w:rFonts w:ascii="宋体" w:hAnsi="宋体" w:cs="宋体"/>
                <w:sz w:val="24"/>
                <w:szCs w:val="24"/>
                <w:highlight w:val="none"/>
              </w:rPr>
            </w:pPr>
          </w:p>
        </w:tc>
        <w:tc>
          <w:tcPr>
            <w:tcW w:w="1507" w:type="dxa"/>
            <w:vAlign w:val="center"/>
          </w:tcPr>
          <w:p>
            <w:pPr>
              <w:shd w:val="clear"/>
              <w:adjustRightInd w:val="0"/>
              <w:snapToGrid w:val="0"/>
              <w:spacing w:line="440" w:lineRule="exact"/>
              <w:jc w:val="center"/>
              <w:rPr>
                <w:rFonts w:ascii="宋体" w:hAnsi="宋体" w:cs="宋体"/>
                <w:sz w:val="24"/>
                <w:szCs w:val="24"/>
                <w:highlight w:val="none"/>
              </w:rPr>
            </w:pPr>
          </w:p>
        </w:tc>
        <w:tc>
          <w:tcPr>
            <w:tcW w:w="1506" w:type="dxa"/>
            <w:vAlign w:val="center"/>
          </w:tcPr>
          <w:p>
            <w:pPr>
              <w:shd w:val="clear"/>
              <w:adjustRightInd w:val="0"/>
              <w:snapToGrid w:val="0"/>
              <w:spacing w:line="440" w:lineRule="exact"/>
              <w:jc w:val="center"/>
              <w:rPr>
                <w:rFonts w:ascii="宋体" w:hAnsi="宋体" w:cs="宋体"/>
                <w:sz w:val="24"/>
                <w:szCs w:val="24"/>
                <w:highlight w:val="none"/>
              </w:rPr>
            </w:pPr>
          </w:p>
        </w:tc>
        <w:tc>
          <w:tcPr>
            <w:tcW w:w="1507" w:type="dxa"/>
            <w:vAlign w:val="center"/>
          </w:tcPr>
          <w:p>
            <w:pPr>
              <w:shd w:val="clear"/>
              <w:adjustRightInd w:val="0"/>
              <w:snapToGrid w:val="0"/>
              <w:spacing w:line="440" w:lineRule="exact"/>
              <w:jc w:val="center"/>
              <w:rPr>
                <w:rFonts w:ascii="宋体" w:hAnsi="宋体" w:cs="宋体"/>
                <w:sz w:val="24"/>
                <w:szCs w:val="24"/>
                <w:highlight w:val="none"/>
              </w:rPr>
            </w:pPr>
          </w:p>
        </w:tc>
        <w:tc>
          <w:tcPr>
            <w:tcW w:w="3316" w:type="dxa"/>
            <w:vAlign w:val="center"/>
          </w:tcPr>
          <w:p>
            <w:pPr>
              <w:shd w:val="clear"/>
              <w:adjustRightInd w:val="0"/>
              <w:snapToGrid w:val="0"/>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shd w:val="clear"/>
              <w:adjustRightInd w:val="0"/>
              <w:snapToGrid w:val="0"/>
              <w:spacing w:line="440" w:lineRule="exact"/>
              <w:jc w:val="center"/>
              <w:rPr>
                <w:rFonts w:ascii="宋体" w:hAnsi="宋体" w:cs="宋体"/>
                <w:sz w:val="24"/>
                <w:szCs w:val="24"/>
                <w:highlight w:val="none"/>
              </w:rPr>
            </w:pPr>
          </w:p>
        </w:tc>
        <w:tc>
          <w:tcPr>
            <w:tcW w:w="1507" w:type="dxa"/>
            <w:vAlign w:val="center"/>
          </w:tcPr>
          <w:p>
            <w:pPr>
              <w:shd w:val="clear"/>
              <w:adjustRightInd w:val="0"/>
              <w:snapToGrid w:val="0"/>
              <w:spacing w:line="440" w:lineRule="exact"/>
              <w:jc w:val="center"/>
              <w:rPr>
                <w:rFonts w:ascii="宋体" w:hAnsi="宋体" w:cs="宋体"/>
                <w:sz w:val="24"/>
                <w:szCs w:val="24"/>
                <w:highlight w:val="none"/>
              </w:rPr>
            </w:pPr>
          </w:p>
        </w:tc>
        <w:tc>
          <w:tcPr>
            <w:tcW w:w="1506" w:type="dxa"/>
            <w:vAlign w:val="center"/>
          </w:tcPr>
          <w:p>
            <w:pPr>
              <w:shd w:val="clear"/>
              <w:adjustRightInd w:val="0"/>
              <w:snapToGrid w:val="0"/>
              <w:spacing w:line="440" w:lineRule="exact"/>
              <w:jc w:val="center"/>
              <w:rPr>
                <w:rFonts w:ascii="宋体" w:hAnsi="宋体" w:cs="宋体"/>
                <w:sz w:val="24"/>
                <w:szCs w:val="24"/>
                <w:highlight w:val="none"/>
              </w:rPr>
            </w:pPr>
          </w:p>
        </w:tc>
        <w:tc>
          <w:tcPr>
            <w:tcW w:w="1507" w:type="dxa"/>
            <w:vAlign w:val="center"/>
          </w:tcPr>
          <w:p>
            <w:pPr>
              <w:shd w:val="clear"/>
              <w:adjustRightInd w:val="0"/>
              <w:snapToGrid w:val="0"/>
              <w:spacing w:line="440" w:lineRule="exact"/>
              <w:jc w:val="center"/>
              <w:rPr>
                <w:rFonts w:ascii="宋体" w:hAnsi="宋体" w:cs="宋体"/>
                <w:sz w:val="24"/>
                <w:szCs w:val="24"/>
                <w:highlight w:val="none"/>
              </w:rPr>
            </w:pPr>
          </w:p>
        </w:tc>
        <w:tc>
          <w:tcPr>
            <w:tcW w:w="3316" w:type="dxa"/>
            <w:vAlign w:val="center"/>
          </w:tcPr>
          <w:p>
            <w:pPr>
              <w:shd w:val="clear"/>
              <w:adjustRightInd w:val="0"/>
              <w:snapToGrid w:val="0"/>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7" w:type="dxa"/>
            <w:vAlign w:val="center"/>
          </w:tcPr>
          <w:p>
            <w:pPr>
              <w:shd w:val="clear"/>
              <w:adjustRightInd w:val="0"/>
              <w:snapToGrid w:val="0"/>
              <w:spacing w:line="440" w:lineRule="exact"/>
              <w:jc w:val="center"/>
              <w:rPr>
                <w:rFonts w:ascii="宋体" w:hAnsi="宋体" w:cs="宋体"/>
                <w:sz w:val="24"/>
                <w:szCs w:val="24"/>
                <w:highlight w:val="none"/>
              </w:rPr>
            </w:pPr>
          </w:p>
        </w:tc>
        <w:tc>
          <w:tcPr>
            <w:tcW w:w="1507" w:type="dxa"/>
            <w:vAlign w:val="center"/>
          </w:tcPr>
          <w:p>
            <w:pPr>
              <w:shd w:val="clear"/>
              <w:adjustRightInd w:val="0"/>
              <w:snapToGrid w:val="0"/>
              <w:spacing w:line="440" w:lineRule="exact"/>
              <w:jc w:val="center"/>
              <w:rPr>
                <w:rFonts w:ascii="宋体" w:hAnsi="宋体" w:cs="宋体"/>
                <w:sz w:val="24"/>
                <w:szCs w:val="24"/>
                <w:highlight w:val="none"/>
              </w:rPr>
            </w:pPr>
          </w:p>
        </w:tc>
        <w:tc>
          <w:tcPr>
            <w:tcW w:w="1506" w:type="dxa"/>
            <w:vAlign w:val="center"/>
          </w:tcPr>
          <w:p>
            <w:pPr>
              <w:shd w:val="clear"/>
              <w:adjustRightInd w:val="0"/>
              <w:snapToGrid w:val="0"/>
              <w:spacing w:line="440" w:lineRule="exact"/>
              <w:jc w:val="center"/>
              <w:rPr>
                <w:rFonts w:ascii="宋体" w:hAnsi="宋体" w:cs="宋体"/>
                <w:sz w:val="24"/>
                <w:szCs w:val="24"/>
                <w:highlight w:val="none"/>
              </w:rPr>
            </w:pPr>
          </w:p>
        </w:tc>
        <w:tc>
          <w:tcPr>
            <w:tcW w:w="1507" w:type="dxa"/>
            <w:vAlign w:val="center"/>
          </w:tcPr>
          <w:p>
            <w:pPr>
              <w:shd w:val="clear"/>
              <w:adjustRightInd w:val="0"/>
              <w:snapToGrid w:val="0"/>
              <w:spacing w:line="440" w:lineRule="exact"/>
              <w:jc w:val="center"/>
              <w:rPr>
                <w:rFonts w:ascii="宋体" w:hAnsi="宋体" w:cs="宋体"/>
                <w:sz w:val="24"/>
                <w:szCs w:val="24"/>
                <w:highlight w:val="none"/>
              </w:rPr>
            </w:pPr>
          </w:p>
        </w:tc>
        <w:tc>
          <w:tcPr>
            <w:tcW w:w="3316" w:type="dxa"/>
            <w:vAlign w:val="center"/>
          </w:tcPr>
          <w:p>
            <w:pPr>
              <w:shd w:val="clear"/>
              <w:adjustRightInd w:val="0"/>
              <w:snapToGrid w:val="0"/>
              <w:spacing w:line="440" w:lineRule="exact"/>
              <w:jc w:val="center"/>
              <w:rPr>
                <w:rFonts w:ascii="宋体" w:hAnsi="宋体" w:cs="宋体"/>
                <w:sz w:val="24"/>
                <w:szCs w:val="24"/>
                <w:highlight w:val="none"/>
              </w:rPr>
            </w:pPr>
          </w:p>
        </w:tc>
      </w:tr>
    </w:tbl>
    <w:p>
      <w:pPr>
        <w:shd w:val="clear"/>
        <w:spacing w:line="440" w:lineRule="exact"/>
        <w:ind w:left="420"/>
        <w:rPr>
          <w:rFonts w:ascii="宋体" w:hAnsi="宋体" w:cs="宋体"/>
          <w:sz w:val="24"/>
          <w:szCs w:val="24"/>
          <w:highlight w:val="none"/>
        </w:rPr>
      </w:pPr>
      <w:r>
        <w:rPr>
          <w:rFonts w:hint="eastAsia" w:ascii="宋体" w:hAnsi="宋体" w:cs="宋体"/>
          <w:sz w:val="24"/>
          <w:szCs w:val="24"/>
          <w:highlight w:val="none"/>
        </w:rPr>
        <w:t>注：若投标人中标，上述项目经理和主要施工管理人员代表中标人履行本项目职责</w:t>
      </w:r>
    </w:p>
    <w:p>
      <w:pPr>
        <w:shd w:val="clear"/>
        <w:spacing w:line="440" w:lineRule="exact"/>
        <w:rPr>
          <w:rFonts w:ascii="宋体" w:hAnsi="宋体" w:cs="宋体"/>
          <w:sz w:val="24"/>
          <w:szCs w:val="24"/>
          <w:highlight w:val="none"/>
        </w:rPr>
      </w:pPr>
    </w:p>
    <w:p>
      <w:pPr>
        <w:shd w:val="clear"/>
        <w:spacing w:line="440" w:lineRule="exact"/>
        <w:rPr>
          <w:rFonts w:ascii="宋体" w:hAnsi="宋体" w:cs="宋体"/>
          <w:sz w:val="24"/>
          <w:szCs w:val="24"/>
          <w:highlight w:val="none"/>
        </w:rPr>
      </w:pPr>
      <w:r>
        <w:rPr>
          <w:rFonts w:hint="eastAsia" w:ascii="宋体" w:hAnsi="宋体" w:cs="宋体"/>
          <w:sz w:val="24"/>
          <w:szCs w:val="24"/>
          <w:highlight w:val="none"/>
        </w:rPr>
        <w:t>表3                      技术工种主要施工人员配备表</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723"/>
        <w:gridCol w:w="1440"/>
        <w:gridCol w:w="1260"/>
        <w:gridCol w:w="1483"/>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25" w:type="dxa"/>
            <w:vAlign w:val="center"/>
          </w:tcPr>
          <w:p>
            <w:pPr>
              <w:shd w:val="clear"/>
              <w:spacing w:line="440" w:lineRule="exact"/>
              <w:jc w:val="center"/>
              <w:rPr>
                <w:rFonts w:ascii="宋体" w:hAnsi="宋体" w:cs="宋体"/>
                <w:sz w:val="24"/>
                <w:szCs w:val="24"/>
                <w:highlight w:val="none"/>
              </w:rPr>
            </w:pPr>
            <w:r>
              <w:rPr>
                <w:rFonts w:hint="eastAsia" w:ascii="宋体" w:hAnsi="宋体" w:cs="宋体"/>
                <w:sz w:val="24"/>
                <w:szCs w:val="24"/>
                <w:highlight w:val="none"/>
              </w:rPr>
              <w:t>技术工种</w:t>
            </w:r>
          </w:p>
        </w:tc>
        <w:tc>
          <w:tcPr>
            <w:tcW w:w="723" w:type="dxa"/>
            <w:vAlign w:val="center"/>
          </w:tcPr>
          <w:p>
            <w:pPr>
              <w:shd w:val="clear"/>
              <w:spacing w:line="440" w:lineRule="exact"/>
              <w:jc w:val="center"/>
              <w:rPr>
                <w:rFonts w:ascii="宋体" w:hAnsi="宋体" w:cs="宋体"/>
                <w:sz w:val="24"/>
                <w:szCs w:val="24"/>
                <w:highlight w:val="none"/>
              </w:rPr>
            </w:pPr>
            <w:r>
              <w:rPr>
                <w:rFonts w:hint="eastAsia" w:ascii="宋体" w:hAnsi="宋体" w:cs="宋体"/>
                <w:sz w:val="24"/>
                <w:szCs w:val="24"/>
                <w:highlight w:val="none"/>
              </w:rPr>
              <w:t>人数</w:t>
            </w:r>
          </w:p>
        </w:tc>
        <w:tc>
          <w:tcPr>
            <w:tcW w:w="1440" w:type="dxa"/>
            <w:vAlign w:val="center"/>
          </w:tcPr>
          <w:p>
            <w:pPr>
              <w:shd w:val="clear"/>
              <w:spacing w:line="440" w:lineRule="exact"/>
              <w:jc w:val="center"/>
              <w:rPr>
                <w:rFonts w:ascii="宋体" w:hAnsi="宋体" w:cs="宋体"/>
                <w:sz w:val="24"/>
                <w:szCs w:val="24"/>
                <w:highlight w:val="none"/>
              </w:rPr>
            </w:pPr>
            <w:r>
              <w:rPr>
                <w:rFonts w:hint="eastAsia" w:ascii="宋体" w:hAnsi="宋体" w:cs="宋体"/>
                <w:sz w:val="24"/>
                <w:szCs w:val="24"/>
                <w:highlight w:val="none"/>
              </w:rPr>
              <w:t>姓名</w:t>
            </w:r>
          </w:p>
        </w:tc>
        <w:tc>
          <w:tcPr>
            <w:tcW w:w="1260" w:type="dxa"/>
            <w:vAlign w:val="center"/>
          </w:tcPr>
          <w:p>
            <w:pPr>
              <w:shd w:val="clear"/>
              <w:spacing w:line="440" w:lineRule="exact"/>
              <w:jc w:val="center"/>
              <w:rPr>
                <w:rFonts w:ascii="宋体" w:hAnsi="宋体" w:cs="宋体"/>
                <w:sz w:val="24"/>
                <w:szCs w:val="24"/>
                <w:highlight w:val="none"/>
              </w:rPr>
            </w:pPr>
            <w:r>
              <w:rPr>
                <w:rFonts w:hint="eastAsia" w:ascii="宋体" w:hAnsi="宋体" w:cs="宋体"/>
                <w:sz w:val="24"/>
                <w:szCs w:val="24"/>
                <w:highlight w:val="none"/>
              </w:rPr>
              <w:t>年龄</w:t>
            </w:r>
          </w:p>
        </w:tc>
        <w:tc>
          <w:tcPr>
            <w:tcW w:w="1483" w:type="dxa"/>
            <w:vAlign w:val="center"/>
          </w:tcPr>
          <w:p>
            <w:pPr>
              <w:shd w:val="clear"/>
              <w:spacing w:line="440" w:lineRule="exact"/>
              <w:jc w:val="center"/>
              <w:rPr>
                <w:rFonts w:ascii="宋体" w:hAnsi="宋体" w:cs="宋体"/>
                <w:sz w:val="24"/>
                <w:szCs w:val="24"/>
                <w:highlight w:val="none"/>
              </w:rPr>
            </w:pPr>
            <w:r>
              <w:rPr>
                <w:rFonts w:hint="eastAsia" w:ascii="宋体" w:hAnsi="宋体" w:cs="宋体"/>
                <w:sz w:val="24"/>
                <w:szCs w:val="24"/>
                <w:highlight w:val="none"/>
              </w:rPr>
              <w:t>技工(师)级别</w:t>
            </w:r>
          </w:p>
        </w:tc>
        <w:tc>
          <w:tcPr>
            <w:tcW w:w="2712" w:type="dxa"/>
            <w:vAlign w:val="center"/>
          </w:tcPr>
          <w:p>
            <w:pPr>
              <w:shd w:val="clear"/>
              <w:spacing w:line="440" w:lineRule="exact"/>
              <w:jc w:val="center"/>
              <w:rPr>
                <w:rFonts w:ascii="宋体" w:hAnsi="宋体" w:cs="宋体"/>
                <w:sz w:val="24"/>
                <w:szCs w:val="24"/>
                <w:highlight w:val="none"/>
              </w:rPr>
            </w:pPr>
            <w:r>
              <w:rPr>
                <w:rFonts w:hint="eastAsia" w:ascii="宋体" w:hAnsi="宋体" w:cs="宋体"/>
                <w:sz w:val="24"/>
                <w:szCs w:val="24"/>
                <w:highlight w:val="none"/>
              </w:rPr>
              <w:t>主要经历及施工类项目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5" w:type="dxa"/>
            <w:vAlign w:val="center"/>
          </w:tcPr>
          <w:p>
            <w:pPr>
              <w:shd w:val="clear"/>
              <w:spacing w:line="440" w:lineRule="exact"/>
              <w:jc w:val="center"/>
              <w:rPr>
                <w:rFonts w:ascii="宋体" w:hAnsi="宋体" w:cs="宋体"/>
                <w:sz w:val="24"/>
                <w:szCs w:val="24"/>
                <w:highlight w:val="none"/>
              </w:rPr>
            </w:pPr>
            <w:r>
              <w:rPr>
                <w:rFonts w:hint="eastAsia" w:ascii="宋体" w:hAnsi="宋体" w:cs="宋体"/>
                <w:sz w:val="24"/>
                <w:szCs w:val="24"/>
                <w:highlight w:val="none"/>
              </w:rPr>
              <w:t>起重工</w:t>
            </w:r>
          </w:p>
        </w:tc>
        <w:tc>
          <w:tcPr>
            <w:tcW w:w="723" w:type="dxa"/>
            <w:vAlign w:val="center"/>
          </w:tcPr>
          <w:p>
            <w:pPr>
              <w:shd w:val="clear"/>
              <w:spacing w:line="440" w:lineRule="exact"/>
              <w:jc w:val="center"/>
              <w:rPr>
                <w:rFonts w:ascii="宋体" w:hAnsi="宋体" w:cs="宋体"/>
                <w:sz w:val="24"/>
                <w:szCs w:val="24"/>
                <w:highlight w:val="none"/>
              </w:rPr>
            </w:pPr>
          </w:p>
        </w:tc>
        <w:tc>
          <w:tcPr>
            <w:tcW w:w="1440" w:type="dxa"/>
            <w:vAlign w:val="center"/>
          </w:tcPr>
          <w:p>
            <w:pPr>
              <w:shd w:val="clear"/>
              <w:spacing w:line="440" w:lineRule="exact"/>
              <w:jc w:val="center"/>
              <w:rPr>
                <w:rFonts w:ascii="宋体" w:hAnsi="宋体" w:cs="宋体"/>
                <w:sz w:val="24"/>
                <w:szCs w:val="24"/>
                <w:highlight w:val="none"/>
              </w:rPr>
            </w:pPr>
          </w:p>
        </w:tc>
        <w:tc>
          <w:tcPr>
            <w:tcW w:w="1260" w:type="dxa"/>
            <w:vAlign w:val="center"/>
          </w:tcPr>
          <w:p>
            <w:pPr>
              <w:shd w:val="clear"/>
              <w:spacing w:line="440" w:lineRule="exact"/>
              <w:jc w:val="center"/>
              <w:rPr>
                <w:rFonts w:ascii="宋体" w:hAnsi="宋体" w:cs="宋体"/>
                <w:sz w:val="24"/>
                <w:szCs w:val="24"/>
                <w:highlight w:val="none"/>
              </w:rPr>
            </w:pPr>
          </w:p>
        </w:tc>
        <w:tc>
          <w:tcPr>
            <w:tcW w:w="1483" w:type="dxa"/>
            <w:vAlign w:val="center"/>
          </w:tcPr>
          <w:p>
            <w:pPr>
              <w:shd w:val="clear"/>
              <w:spacing w:line="440" w:lineRule="exact"/>
              <w:jc w:val="center"/>
              <w:rPr>
                <w:rFonts w:ascii="宋体" w:hAnsi="宋体" w:cs="宋体"/>
                <w:sz w:val="24"/>
                <w:szCs w:val="24"/>
                <w:highlight w:val="none"/>
              </w:rPr>
            </w:pPr>
          </w:p>
        </w:tc>
        <w:tc>
          <w:tcPr>
            <w:tcW w:w="2712" w:type="dxa"/>
            <w:vAlign w:val="center"/>
          </w:tcPr>
          <w:p>
            <w:pPr>
              <w:shd w:val="clea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5" w:type="dxa"/>
            <w:vAlign w:val="center"/>
          </w:tcPr>
          <w:p>
            <w:pPr>
              <w:shd w:val="clear"/>
              <w:spacing w:line="440" w:lineRule="exact"/>
              <w:jc w:val="center"/>
              <w:rPr>
                <w:rFonts w:ascii="宋体" w:hAnsi="宋体" w:cs="宋体"/>
                <w:sz w:val="24"/>
                <w:szCs w:val="24"/>
                <w:highlight w:val="none"/>
              </w:rPr>
            </w:pPr>
            <w:r>
              <w:rPr>
                <w:rFonts w:hint="eastAsia" w:ascii="宋体" w:hAnsi="宋体" w:cs="宋体"/>
                <w:sz w:val="24"/>
                <w:szCs w:val="24"/>
                <w:highlight w:val="none"/>
              </w:rPr>
              <w:t>焊工</w:t>
            </w:r>
          </w:p>
        </w:tc>
        <w:tc>
          <w:tcPr>
            <w:tcW w:w="723" w:type="dxa"/>
            <w:vAlign w:val="center"/>
          </w:tcPr>
          <w:p>
            <w:pPr>
              <w:shd w:val="clear"/>
              <w:spacing w:line="440" w:lineRule="exact"/>
              <w:jc w:val="center"/>
              <w:rPr>
                <w:rFonts w:ascii="宋体" w:hAnsi="宋体" w:cs="宋体"/>
                <w:sz w:val="24"/>
                <w:szCs w:val="24"/>
                <w:highlight w:val="none"/>
              </w:rPr>
            </w:pPr>
          </w:p>
        </w:tc>
        <w:tc>
          <w:tcPr>
            <w:tcW w:w="1440" w:type="dxa"/>
            <w:vAlign w:val="center"/>
          </w:tcPr>
          <w:p>
            <w:pPr>
              <w:shd w:val="clear"/>
              <w:spacing w:line="440" w:lineRule="exact"/>
              <w:jc w:val="center"/>
              <w:rPr>
                <w:rFonts w:ascii="宋体" w:hAnsi="宋体" w:cs="宋体"/>
                <w:sz w:val="24"/>
                <w:szCs w:val="24"/>
                <w:highlight w:val="none"/>
              </w:rPr>
            </w:pPr>
          </w:p>
        </w:tc>
        <w:tc>
          <w:tcPr>
            <w:tcW w:w="1260" w:type="dxa"/>
            <w:vAlign w:val="center"/>
          </w:tcPr>
          <w:p>
            <w:pPr>
              <w:shd w:val="clear"/>
              <w:spacing w:line="440" w:lineRule="exact"/>
              <w:jc w:val="center"/>
              <w:rPr>
                <w:rFonts w:ascii="宋体" w:hAnsi="宋体" w:cs="宋体"/>
                <w:sz w:val="24"/>
                <w:szCs w:val="24"/>
                <w:highlight w:val="none"/>
              </w:rPr>
            </w:pPr>
          </w:p>
        </w:tc>
        <w:tc>
          <w:tcPr>
            <w:tcW w:w="1483" w:type="dxa"/>
            <w:vAlign w:val="center"/>
          </w:tcPr>
          <w:p>
            <w:pPr>
              <w:shd w:val="clear"/>
              <w:spacing w:line="440" w:lineRule="exact"/>
              <w:jc w:val="center"/>
              <w:rPr>
                <w:rFonts w:ascii="宋体" w:hAnsi="宋体" w:cs="宋体"/>
                <w:sz w:val="24"/>
                <w:szCs w:val="24"/>
                <w:highlight w:val="none"/>
              </w:rPr>
            </w:pPr>
          </w:p>
        </w:tc>
        <w:tc>
          <w:tcPr>
            <w:tcW w:w="2712" w:type="dxa"/>
            <w:vAlign w:val="center"/>
          </w:tcPr>
          <w:p>
            <w:pPr>
              <w:shd w:val="clea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5" w:type="dxa"/>
            <w:vAlign w:val="center"/>
          </w:tcPr>
          <w:p>
            <w:pPr>
              <w:shd w:val="clear"/>
              <w:spacing w:line="440" w:lineRule="exact"/>
              <w:jc w:val="center"/>
              <w:rPr>
                <w:rFonts w:ascii="宋体" w:hAnsi="宋体" w:cs="宋体"/>
                <w:sz w:val="24"/>
                <w:szCs w:val="24"/>
                <w:highlight w:val="none"/>
              </w:rPr>
            </w:pPr>
            <w:r>
              <w:rPr>
                <w:rFonts w:hint="eastAsia" w:ascii="宋体" w:hAnsi="宋体" w:cs="宋体"/>
                <w:sz w:val="24"/>
                <w:szCs w:val="24"/>
                <w:highlight w:val="none"/>
              </w:rPr>
              <w:t>管工</w:t>
            </w:r>
          </w:p>
        </w:tc>
        <w:tc>
          <w:tcPr>
            <w:tcW w:w="723" w:type="dxa"/>
            <w:vAlign w:val="center"/>
          </w:tcPr>
          <w:p>
            <w:pPr>
              <w:shd w:val="clear"/>
              <w:spacing w:line="440" w:lineRule="exact"/>
              <w:jc w:val="center"/>
              <w:rPr>
                <w:rFonts w:ascii="宋体" w:hAnsi="宋体" w:cs="宋体"/>
                <w:sz w:val="24"/>
                <w:szCs w:val="24"/>
                <w:highlight w:val="none"/>
              </w:rPr>
            </w:pPr>
          </w:p>
        </w:tc>
        <w:tc>
          <w:tcPr>
            <w:tcW w:w="1440" w:type="dxa"/>
            <w:vAlign w:val="center"/>
          </w:tcPr>
          <w:p>
            <w:pPr>
              <w:shd w:val="clear"/>
              <w:spacing w:line="440" w:lineRule="exact"/>
              <w:jc w:val="center"/>
              <w:rPr>
                <w:rFonts w:ascii="宋体" w:hAnsi="宋体" w:cs="宋体"/>
                <w:sz w:val="24"/>
                <w:szCs w:val="24"/>
                <w:highlight w:val="none"/>
              </w:rPr>
            </w:pPr>
          </w:p>
        </w:tc>
        <w:tc>
          <w:tcPr>
            <w:tcW w:w="1260" w:type="dxa"/>
            <w:vAlign w:val="center"/>
          </w:tcPr>
          <w:p>
            <w:pPr>
              <w:shd w:val="clear"/>
              <w:spacing w:line="440" w:lineRule="exact"/>
              <w:jc w:val="center"/>
              <w:rPr>
                <w:rFonts w:ascii="宋体" w:hAnsi="宋体" w:cs="宋体"/>
                <w:sz w:val="24"/>
                <w:szCs w:val="24"/>
                <w:highlight w:val="none"/>
              </w:rPr>
            </w:pPr>
          </w:p>
        </w:tc>
        <w:tc>
          <w:tcPr>
            <w:tcW w:w="1483" w:type="dxa"/>
            <w:vAlign w:val="center"/>
          </w:tcPr>
          <w:p>
            <w:pPr>
              <w:shd w:val="clear"/>
              <w:spacing w:line="440" w:lineRule="exact"/>
              <w:jc w:val="center"/>
              <w:rPr>
                <w:rFonts w:ascii="宋体" w:hAnsi="宋体" w:cs="宋体"/>
                <w:sz w:val="24"/>
                <w:szCs w:val="24"/>
                <w:highlight w:val="none"/>
              </w:rPr>
            </w:pPr>
          </w:p>
        </w:tc>
        <w:tc>
          <w:tcPr>
            <w:tcW w:w="2712" w:type="dxa"/>
            <w:vAlign w:val="center"/>
          </w:tcPr>
          <w:p>
            <w:pPr>
              <w:shd w:val="clea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5" w:type="dxa"/>
            <w:vAlign w:val="center"/>
          </w:tcPr>
          <w:p>
            <w:pPr>
              <w:shd w:val="clear"/>
              <w:spacing w:line="440" w:lineRule="exact"/>
              <w:jc w:val="center"/>
              <w:rPr>
                <w:rFonts w:ascii="宋体" w:hAnsi="宋体" w:cs="宋体"/>
                <w:sz w:val="24"/>
                <w:szCs w:val="24"/>
                <w:highlight w:val="none"/>
              </w:rPr>
            </w:pPr>
            <w:r>
              <w:rPr>
                <w:rFonts w:hint="eastAsia" w:ascii="宋体" w:hAnsi="宋体" w:cs="宋体"/>
                <w:sz w:val="24"/>
                <w:szCs w:val="24"/>
                <w:highlight w:val="none"/>
              </w:rPr>
              <w:t>钳工</w:t>
            </w:r>
          </w:p>
        </w:tc>
        <w:tc>
          <w:tcPr>
            <w:tcW w:w="723" w:type="dxa"/>
            <w:vAlign w:val="center"/>
          </w:tcPr>
          <w:p>
            <w:pPr>
              <w:shd w:val="clear"/>
              <w:spacing w:line="440" w:lineRule="exact"/>
              <w:jc w:val="center"/>
              <w:rPr>
                <w:rFonts w:ascii="宋体" w:hAnsi="宋体" w:cs="宋体"/>
                <w:sz w:val="24"/>
                <w:szCs w:val="24"/>
                <w:highlight w:val="none"/>
              </w:rPr>
            </w:pPr>
          </w:p>
        </w:tc>
        <w:tc>
          <w:tcPr>
            <w:tcW w:w="1440" w:type="dxa"/>
            <w:vAlign w:val="center"/>
          </w:tcPr>
          <w:p>
            <w:pPr>
              <w:shd w:val="clear"/>
              <w:spacing w:line="440" w:lineRule="exact"/>
              <w:jc w:val="center"/>
              <w:rPr>
                <w:rFonts w:ascii="宋体" w:hAnsi="宋体" w:cs="宋体"/>
                <w:sz w:val="24"/>
                <w:szCs w:val="24"/>
                <w:highlight w:val="none"/>
              </w:rPr>
            </w:pPr>
          </w:p>
        </w:tc>
        <w:tc>
          <w:tcPr>
            <w:tcW w:w="1260" w:type="dxa"/>
            <w:vAlign w:val="center"/>
          </w:tcPr>
          <w:p>
            <w:pPr>
              <w:shd w:val="clear"/>
              <w:spacing w:line="440" w:lineRule="exact"/>
              <w:jc w:val="center"/>
              <w:rPr>
                <w:rFonts w:ascii="宋体" w:hAnsi="宋体" w:cs="宋体"/>
                <w:sz w:val="24"/>
                <w:szCs w:val="24"/>
                <w:highlight w:val="none"/>
              </w:rPr>
            </w:pPr>
          </w:p>
        </w:tc>
        <w:tc>
          <w:tcPr>
            <w:tcW w:w="1483" w:type="dxa"/>
            <w:vAlign w:val="center"/>
          </w:tcPr>
          <w:p>
            <w:pPr>
              <w:shd w:val="clear"/>
              <w:spacing w:line="440" w:lineRule="exact"/>
              <w:jc w:val="center"/>
              <w:rPr>
                <w:rFonts w:ascii="宋体" w:hAnsi="宋体" w:cs="宋体"/>
                <w:sz w:val="24"/>
                <w:szCs w:val="24"/>
                <w:highlight w:val="none"/>
              </w:rPr>
            </w:pPr>
          </w:p>
        </w:tc>
        <w:tc>
          <w:tcPr>
            <w:tcW w:w="2712" w:type="dxa"/>
            <w:vAlign w:val="center"/>
          </w:tcPr>
          <w:p>
            <w:pPr>
              <w:shd w:val="clea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5" w:type="dxa"/>
            <w:vAlign w:val="center"/>
          </w:tcPr>
          <w:p>
            <w:pPr>
              <w:shd w:val="clear"/>
              <w:spacing w:line="440" w:lineRule="exact"/>
              <w:jc w:val="center"/>
              <w:rPr>
                <w:rFonts w:ascii="宋体" w:hAnsi="宋体" w:cs="宋体"/>
                <w:sz w:val="24"/>
                <w:szCs w:val="24"/>
                <w:highlight w:val="none"/>
              </w:rPr>
            </w:pPr>
            <w:r>
              <w:rPr>
                <w:rFonts w:hint="eastAsia" w:ascii="宋体" w:hAnsi="宋体" w:cs="宋体"/>
                <w:sz w:val="24"/>
                <w:szCs w:val="24"/>
                <w:highlight w:val="none"/>
              </w:rPr>
              <w:t>电工</w:t>
            </w:r>
          </w:p>
        </w:tc>
        <w:tc>
          <w:tcPr>
            <w:tcW w:w="723" w:type="dxa"/>
            <w:vAlign w:val="center"/>
          </w:tcPr>
          <w:p>
            <w:pPr>
              <w:shd w:val="clear"/>
              <w:spacing w:line="440" w:lineRule="exact"/>
              <w:jc w:val="center"/>
              <w:rPr>
                <w:rFonts w:ascii="宋体" w:hAnsi="宋体" w:cs="宋体"/>
                <w:sz w:val="24"/>
                <w:szCs w:val="24"/>
                <w:highlight w:val="none"/>
              </w:rPr>
            </w:pPr>
          </w:p>
        </w:tc>
        <w:tc>
          <w:tcPr>
            <w:tcW w:w="1440" w:type="dxa"/>
            <w:vAlign w:val="center"/>
          </w:tcPr>
          <w:p>
            <w:pPr>
              <w:shd w:val="clear"/>
              <w:spacing w:line="440" w:lineRule="exact"/>
              <w:jc w:val="center"/>
              <w:rPr>
                <w:rFonts w:ascii="宋体" w:hAnsi="宋体" w:cs="宋体"/>
                <w:sz w:val="24"/>
                <w:szCs w:val="24"/>
                <w:highlight w:val="none"/>
              </w:rPr>
            </w:pPr>
          </w:p>
        </w:tc>
        <w:tc>
          <w:tcPr>
            <w:tcW w:w="1260" w:type="dxa"/>
            <w:vAlign w:val="center"/>
          </w:tcPr>
          <w:p>
            <w:pPr>
              <w:shd w:val="clear"/>
              <w:spacing w:line="440" w:lineRule="exact"/>
              <w:jc w:val="center"/>
              <w:rPr>
                <w:rFonts w:ascii="宋体" w:hAnsi="宋体" w:cs="宋体"/>
                <w:sz w:val="24"/>
                <w:szCs w:val="24"/>
                <w:highlight w:val="none"/>
              </w:rPr>
            </w:pPr>
          </w:p>
        </w:tc>
        <w:tc>
          <w:tcPr>
            <w:tcW w:w="1483" w:type="dxa"/>
            <w:vAlign w:val="center"/>
          </w:tcPr>
          <w:p>
            <w:pPr>
              <w:shd w:val="clear"/>
              <w:spacing w:line="440" w:lineRule="exact"/>
              <w:jc w:val="center"/>
              <w:rPr>
                <w:rFonts w:ascii="宋体" w:hAnsi="宋体" w:cs="宋体"/>
                <w:sz w:val="24"/>
                <w:szCs w:val="24"/>
                <w:highlight w:val="none"/>
              </w:rPr>
            </w:pPr>
          </w:p>
        </w:tc>
        <w:tc>
          <w:tcPr>
            <w:tcW w:w="2712" w:type="dxa"/>
            <w:vAlign w:val="center"/>
          </w:tcPr>
          <w:p>
            <w:pPr>
              <w:shd w:val="clea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5" w:type="dxa"/>
            <w:vAlign w:val="center"/>
          </w:tcPr>
          <w:p>
            <w:pPr>
              <w:shd w:val="clear"/>
              <w:spacing w:line="440" w:lineRule="exact"/>
              <w:jc w:val="center"/>
              <w:rPr>
                <w:rFonts w:ascii="宋体" w:hAnsi="宋体" w:cs="宋体"/>
                <w:sz w:val="24"/>
                <w:szCs w:val="24"/>
                <w:highlight w:val="none"/>
              </w:rPr>
            </w:pPr>
            <w:r>
              <w:rPr>
                <w:rFonts w:hint="eastAsia" w:ascii="宋体" w:hAnsi="宋体" w:cs="宋体"/>
                <w:sz w:val="24"/>
                <w:szCs w:val="24"/>
                <w:highlight w:val="none"/>
              </w:rPr>
              <w:t>仪表工等</w:t>
            </w:r>
          </w:p>
        </w:tc>
        <w:tc>
          <w:tcPr>
            <w:tcW w:w="723" w:type="dxa"/>
            <w:vAlign w:val="center"/>
          </w:tcPr>
          <w:p>
            <w:pPr>
              <w:shd w:val="clear"/>
              <w:spacing w:line="440" w:lineRule="exact"/>
              <w:jc w:val="center"/>
              <w:rPr>
                <w:rFonts w:ascii="宋体" w:hAnsi="宋体" w:cs="宋体"/>
                <w:sz w:val="24"/>
                <w:szCs w:val="24"/>
                <w:highlight w:val="none"/>
              </w:rPr>
            </w:pPr>
          </w:p>
        </w:tc>
        <w:tc>
          <w:tcPr>
            <w:tcW w:w="1440" w:type="dxa"/>
            <w:vAlign w:val="center"/>
          </w:tcPr>
          <w:p>
            <w:pPr>
              <w:shd w:val="clear"/>
              <w:spacing w:line="440" w:lineRule="exact"/>
              <w:jc w:val="center"/>
              <w:rPr>
                <w:rFonts w:ascii="宋体" w:hAnsi="宋体" w:cs="宋体"/>
                <w:sz w:val="24"/>
                <w:szCs w:val="24"/>
                <w:highlight w:val="none"/>
              </w:rPr>
            </w:pPr>
          </w:p>
        </w:tc>
        <w:tc>
          <w:tcPr>
            <w:tcW w:w="1260" w:type="dxa"/>
            <w:vAlign w:val="center"/>
          </w:tcPr>
          <w:p>
            <w:pPr>
              <w:shd w:val="clear"/>
              <w:spacing w:line="440" w:lineRule="exact"/>
              <w:jc w:val="center"/>
              <w:rPr>
                <w:rFonts w:ascii="宋体" w:hAnsi="宋体" w:cs="宋体"/>
                <w:sz w:val="24"/>
                <w:szCs w:val="24"/>
                <w:highlight w:val="none"/>
              </w:rPr>
            </w:pPr>
          </w:p>
        </w:tc>
        <w:tc>
          <w:tcPr>
            <w:tcW w:w="1483" w:type="dxa"/>
            <w:vAlign w:val="center"/>
          </w:tcPr>
          <w:p>
            <w:pPr>
              <w:shd w:val="clear"/>
              <w:spacing w:line="440" w:lineRule="exact"/>
              <w:jc w:val="center"/>
              <w:rPr>
                <w:rFonts w:ascii="宋体" w:hAnsi="宋体" w:cs="宋体"/>
                <w:sz w:val="24"/>
                <w:szCs w:val="24"/>
                <w:highlight w:val="none"/>
              </w:rPr>
            </w:pPr>
          </w:p>
        </w:tc>
        <w:tc>
          <w:tcPr>
            <w:tcW w:w="2712" w:type="dxa"/>
            <w:vAlign w:val="center"/>
          </w:tcPr>
          <w:p>
            <w:pPr>
              <w:shd w:val="clear"/>
              <w:spacing w:line="440" w:lineRule="exact"/>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725" w:type="dxa"/>
            <w:vAlign w:val="center"/>
          </w:tcPr>
          <w:p>
            <w:pPr>
              <w:shd w:val="clear"/>
              <w:spacing w:line="440" w:lineRule="exact"/>
              <w:jc w:val="center"/>
              <w:rPr>
                <w:rFonts w:ascii="宋体" w:hAnsi="宋体" w:cs="宋体"/>
                <w:sz w:val="24"/>
                <w:szCs w:val="24"/>
                <w:highlight w:val="none"/>
              </w:rPr>
            </w:pPr>
            <w:r>
              <w:rPr>
                <w:rFonts w:hint="eastAsia" w:ascii="宋体" w:hAnsi="宋体" w:cs="宋体"/>
                <w:sz w:val="24"/>
                <w:szCs w:val="24"/>
                <w:highlight w:val="none"/>
              </w:rPr>
              <w:t>其他</w:t>
            </w:r>
          </w:p>
        </w:tc>
        <w:tc>
          <w:tcPr>
            <w:tcW w:w="723" w:type="dxa"/>
            <w:vAlign w:val="center"/>
          </w:tcPr>
          <w:p>
            <w:pPr>
              <w:shd w:val="clear"/>
              <w:spacing w:line="440" w:lineRule="exact"/>
              <w:jc w:val="center"/>
              <w:rPr>
                <w:rFonts w:ascii="宋体" w:hAnsi="宋体" w:cs="宋体"/>
                <w:sz w:val="24"/>
                <w:szCs w:val="24"/>
                <w:highlight w:val="none"/>
              </w:rPr>
            </w:pPr>
          </w:p>
        </w:tc>
        <w:tc>
          <w:tcPr>
            <w:tcW w:w="1440" w:type="dxa"/>
            <w:vAlign w:val="center"/>
          </w:tcPr>
          <w:p>
            <w:pPr>
              <w:shd w:val="clear"/>
              <w:spacing w:line="440" w:lineRule="exact"/>
              <w:jc w:val="center"/>
              <w:rPr>
                <w:rFonts w:ascii="宋体" w:hAnsi="宋体" w:cs="宋体"/>
                <w:sz w:val="24"/>
                <w:szCs w:val="24"/>
                <w:highlight w:val="none"/>
              </w:rPr>
            </w:pPr>
          </w:p>
        </w:tc>
        <w:tc>
          <w:tcPr>
            <w:tcW w:w="1260" w:type="dxa"/>
            <w:vAlign w:val="center"/>
          </w:tcPr>
          <w:p>
            <w:pPr>
              <w:shd w:val="clear"/>
              <w:spacing w:line="440" w:lineRule="exact"/>
              <w:jc w:val="center"/>
              <w:rPr>
                <w:rFonts w:ascii="宋体" w:hAnsi="宋体" w:cs="宋体"/>
                <w:sz w:val="24"/>
                <w:szCs w:val="24"/>
                <w:highlight w:val="none"/>
              </w:rPr>
            </w:pPr>
          </w:p>
        </w:tc>
        <w:tc>
          <w:tcPr>
            <w:tcW w:w="1483" w:type="dxa"/>
            <w:vAlign w:val="center"/>
          </w:tcPr>
          <w:p>
            <w:pPr>
              <w:shd w:val="clear"/>
              <w:spacing w:line="440" w:lineRule="exact"/>
              <w:jc w:val="center"/>
              <w:rPr>
                <w:rFonts w:ascii="宋体" w:hAnsi="宋体" w:cs="宋体"/>
                <w:sz w:val="24"/>
                <w:szCs w:val="24"/>
                <w:highlight w:val="none"/>
              </w:rPr>
            </w:pPr>
          </w:p>
        </w:tc>
        <w:tc>
          <w:tcPr>
            <w:tcW w:w="2712" w:type="dxa"/>
            <w:vAlign w:val="center"/>
          </w:tcPr>
          <w:p>
            <w:pPr>
              <w:shd w:val="clear"/>
              <w:spacing w:line="440" w:lineRule="exact"/>
              <w:jc w:val="center"/>
              <w:rPr>
                <w:rFonts w:ascii="宋体" w:hAnsi="宋体" w:cs="宋体"/>
                <w:sz w:val="24"/>
                <w:szCs w:val="24"/>
                <w:highlight w:val="none"/>
              </w:rPr>
            </w:pPr>
          </w:p>
        </w:tc>
      </w:tr>
    </w:tbl>
    <w:p>
      <w:pPr>
        <w:shd w:val="clear"/>
        <w:adjustRightInd w:val="0"/>
        <w:snapToGrid w:val="0"/>
        <w:spacing w:line="440" w:lineRule="exact"/>
        <w:jc w:val="center"/>
        <w:rPr>
          <w:rFonts w:ascii="宋体" w:hAnsi="宋体" w:cs="宋体"/>
          <w:b/>
          <w:bCs/>
          <w:sz w:val="24"/>
          <w:szCs w:val="24"/>
          <w:highlight w:val="none"/>
        </w:rPr>
        <w:sectPr>
          <w:pgSz w:w="11906" w:h="16838"/>
          <w:pgMar w:top="1418" w:right="1361" w:bottom="1361" w:left="1418" w:header="907" w:footer="907" w:gutter="0"/>
          <w:cols w:space="720" w:num="1"/>
          <w:docGrid w:type="linesAndChars" w:linePitch="286" w:charSpace="0"/>
        </w:sectPr>
      </w:pPr>
    </w:p>
    <w:p>
      <w:pPr>
        <w:shd w:val="clear"/>
        <w:adjustRightInd w:val="0"/>
        <w:snapToGrid w:val="0"/>
        <w:spacing w:line="440" w:lineRule="exact"/>
        <w:jc w:val="center"/>
        <w:rPr>
          <w:rFonts w:ascii="宋体" w:hAnsi="宋体" w:cs="宋体"/>
          <w:b/>
          <w:bCs/>
          <w:sz w:val="28"/>
          <w:szCs w:val="28"/>
          <w:highlight w:val="none"/>
        </w:rPr>
      </w:pPr>
      <w:r>
        <w:rPr>
          <w:rFonts w:hint="eastAsia" w:ascii="宋体" w:hAnsi="宋体" w:cs="宋体"/>
          <w:b/>
          <w:bCs/>
          <w:sz w:val="28"/>
          <w:szCs w:val="28"/>
          <w:highlight w:val="none"/>
        </w:rPr>
        <w:t>9-8 投标保证金证明材料</w:t>
      </w:r>
    </w:p>
    <w:p>
      <w:pPr>
        <w:pStyle w:val="45"/>
        <w:shd w:val="clear"/>
        <w:ind w:firstLine="400"/>
        <w:rPr>
          <w:highlight w:val="none"/>
        </w:rPr>
      </w:pPr>
    </w:p>
    <w:p>
      <w:pPr>
        <w:pStyle w:val="45"/>
        <w:shd w:val="clear"/>
        <w:ind w:firstLine="480"/>
        <w:rPr>
          <w:sz w:val="24"/>
          <w:szCs w:val="24"/>
          <w:highlight w:val="none"/>
        </w:rPr>
        <w:sectPr>
          <w:pgSz w:w="11906" w:h="16838"/>
          <w:pgMar w:top="1418" w:right="1361" w:bottom="1361" w:left="1418" w:header="907" w:footer="907" w:gutter="0"/>
          <w:cols w:space="720" w:num="1"/>
          <w:docGrid w:type="linesAndChars" w:linePitch="286" w:charSpace="0"/>
        </w:sectPr>
      </w:pPr>
      <w:r>
        <w:rPr>
          <w:rFonts w:hint="eastAsia"/>
          <w:sz w:val="24"/>
          <w:szCs w:val="24"/>
          <w:highlight w:val="none"/>
        </w:rPr>
        <w:t>附按投标人须知前附表中约定证明材料</w:t>
      </w:r>
    </w:p>
    <w:p>
      <w:pPr>
        <w:shd w:val="clear"/>
        <w:spacing w:line="440" w:lineRule="exact"/>
        <w:ind w:left="420"/>
        <w:jc w:val="center"/>
        <w:outlineLvl w:val="1"/>
        <w:rPr>
          <w:rFonts w:ascii="宋体" w:hAnsi="宋体" w:cs="宋体"/>
          <w:sz w:val="24"/>
          <w:highlight w:val="none"/>
          <w:u w:val="single"/>
        </w:rPr>
      </w:pPr>
      <w:r>
        <w:rPr>
          <w:rFonts w:hint="eastAsia" w:ascii="宋体" w:hAnsi="宋体" w:cs="宋体"/>
          <w:b/>
          <w:bCs/>
          <w:sz w:val="28"/>
          <w:szCs w:val="28"/>
          <w:highlight w:val="none"/>
        </w:rPr>
        <w:t>10. 施工组织及施工进度设计</w:t>
      </w:r>
    </w:p>
    <w:p>
      <w:pPr>
        <w:shd w:val="clear"/>
        <w:spacing w:line="440" w:lineRule="exact"/>
        <w:ind w:left="420"/>
        <w:rPr>
          <w:rFonts w:ascii="宋体" w:hAnsi="宋体" w:cs="宋体"/>
          <w:sz w:val="24"/>
          <w:szCs w:val="24"/>
          <w:highlight w:val="none"/>
        </w:rPr>
      </w:pPr>
      <w:r>
        <w:rPr>
          <w:rFonts w:hint="eastAsia" w:ascii="宋体" w:hAnsi="宋体" w:cs="宋体"/>
          <w:sz w:val="24"/>
          <w:szCs w:val="24"/>
          <w:highlight w:val="none"/>
        </w:rPr>
        <w:t>1．组织机构图</w:t>
      </w:r>
    </w:p>
    <w:p>
      <w:pPr>
        <w:shd w:val="clear"/>
        <w:spacing w:line="440" w:lineRule="exact"/>
        <w:ind w:left="420"/>
        <w:rPr>
          <w:rFonts w:ascii="宋体" w:hAnsi="宋体" w:cs="宋体"/>
          <w:sz w:val="24"/>
          <w:szCs w:val="24"/>
          <w:highlight w:val="none"/>
        </w:rPr>
      </w:pPr>
      <w:r>
        <w:rPr>
          <w:rFonts w:hint="eastAsia" w:ascii="宋体" w:hAnsi="宋体" w:cs="宋体"/>
          <w:sz w:val="24"/>
          <w:szCs w:val="24"/>
          <w:highlight w:val="none"/>
        </w:rPr>
        <w:t>2．项目进度计划及各工种施工人员配备情况</w:t>
      </w:r>
    </w:p>
    <w:tbl>
      <w:tblPr>
        <w:tblStyle w:val="37"/>
        <w:tblpPr w:leftFromText="180" w:rightFromText="180"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2120"/>
        <w:gridCol w:w="9"/>
        <w:gridCol w:w="1799"/>
        <w:gridCol w:w="1259"/>
        <w:gridCol w:w="150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r>
              <w:rPr>
                <w:rFonts w:hint="eastAsia" w:ascii="宋体" w:hAnsi="宋体" w:cs="宋体"/>
                <w:sz w:val="24"/>
                <w:szCs w:val="24"/>
                <w:highlight w:val="none"/>
              </w:rPr>
              <w:t>序号</w:t>
            </w:r>
          </w:p>
        </w:tc>
        <w:tc>
          <w:tcPr>
            <w:tcW w:w="2129"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r>
              <w:rPr>
                <w:rFonts w:hint="eastAsia" w:ascii="宋体" w:hAnsi="宋体" w:cs="宋体"/>
                <w:sz w:val="24"/>
                <w:szCs w:val="24"/>
                <w:highlight w:val="none"/>
              </w:rPr>
              <w:t>主要工程建设项目进度内容</w:t>
            </w:r>
          </w:p>
        </w:tc>
        <w:tc>
          <w:tcPr>
            <w:tcW w:w="179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r>
              <w:rPr>
                <w:rFonts w:hint="eastAsia" w:ascii="宋体" w:hAnsi="宋体" w:cs="宋体"/>
                <w:sz w:val="24"/>
                <w:szCs w:val="24"/>
                <w:highlight w:val="none"/>
              </w:rPr>
              <w:t>安装竣工日期</w:t>
            </w: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r>
              <w:rPr>
                <w:rFonts w:hint="eastAsia" w:ascii="宋体" w:hAnsi="宋体" w:cs="宋体"/>
                <w:sz w:val="24"/>
                <w:szCs w:val="24"/>
                <w:highlight w:val="none"/>
              </w:rPr>
              <w:t>工期</w:t>
            </w:r>
          </w:p>
          <w:p>
            <w:pPr>
              <w:shd w:val="clear"/>
              <w:tabs>
                <w:tab w:val="left" w:pos="900"/>
                <w:tab w:val="left" w:pos="1080"/>
                <w:tab w:val="left" w:pos="1260"/>
              </w:tabs>
              <w:spacing w:line="440" w:lineRule="exact"/>
              <w:jc w:val="center"/>
              <w:rPr>
                <w:rFonts w:ascii="宋体" w:hAnsi="宋体" w:cs="宋体"/>
                <w:sz w:val="24"/>
                <w:szCs w:val="24"/>
                <w:highlight w:val="none"/>
              </w:rPr>
            </w:pPr>
            <w:r>
              <w:rPr>
                <w:rFonts w:hint="eastAsia" w:ascii="宋体" w:hAnsi="宋体" w:cs="宋体"/>
                <w:sz w:val="24"/>
                <w:szCs w:val="24"/>
                <w:highlight w:val="none"/>
              </w:rPr>
              <w:t>(天)</w:t>
            </w: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r>
              <w:rPr>
                <w:rFonts w:hint="eastAsia" w:ascii="宋体" w:hAnsi="宋体" w:cs="宋体"/>
                <w:sz w:val="24"/>
                <w:szCs w:val="24"/>
                <w:highlight w:val="none"/>
              </w:rPr>
              <w:t>各工种施工人数配备</w:t>
            </w: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r>
              <w:rPr>
                <w:rFonts w:hint="eastAsia" w:ascii="宋体" w:hAnsi="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p>
        </w:tc>
        <w:tc>
          <w:tcPr>
            <w:tcW w:w="2129"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79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p>
        </w:tc>
        <w:tc>
          <w:tcPr>
            <w:tcW w:w="2129"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79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p>
        </w:tc>
        <w:tc>
          <w:tcPr>
            <w:tcW w:w="2129"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79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p>
        </w:tc>
        <w:tc>
          <w:tcPr>
            <w:tcW w:w="2129"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79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p>
        </w:tc>
        <w:tc>
          <w:tcPr>
            <w:tcW w:w="2129"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79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p>
        </w:tc>
        <w:tc>
          <w:tcPr>
            <w:tcW w:w="2129"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79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b/>
                <w:sz w:val="24"/>
                <w:szCs w:val="24"/>
                <w:highlight w:val="none"/>
              </w:rPr>
            </w:pPr>
          </w:p>
        </w:tc>
        <w:tc>
          <w:tcPr>
            <w:tcW w:w="2120"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b/>
                <w:sz w:val="24"/>
                <w:szCs w:val="24"/>
                <w:highlight w:val="none"/>
              </w:rPr>
            </w:pPr>
          </w:p>
        </w:tc>
        <w:tc>
          <w:tcPr>
            <w:tcW w:w="2120"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b/>
                <w:sz w:val="24"/>
                <w:szCs w:val="24"/>
                <w:highlight w:val="none"/>
              </w:rPr>
            </w:pPr>
          </w:p>
        </w:tc>
        <w:tc>
          <w:tcPr>
            <w:tcW w:w="2120"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b/>
                <w:sz w:val="24"/>
                <w:szCs w:val="24"/>
                <w:highlight w:val="none"/>
              </w:rPr>
            </w:pPr>
          </w:p>
        </w:tc>
        <w:tc>
          <w:tcPr>
            <w:tcW w:w="2120"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b/>
                <w:sz w:val="24"/>
                <w:szCs w:val="24"/>
                <w:highlight w:val="none"/>
              </w:rPr>
            </w:pPr>
          </w:p>
        </w:tc>
        <w:tc>
          <w:tcPr>
            <w:tcW w:w="2120"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b/>
                <w:sz w:val="24"/>
                <w:szCs w:val="24"/>
                <w:highlight w:val="none"/>
              </w:rPr>
            </w:pPr>
          </w:p>
        </w:tc>
        <w:tc>
          <w:tcPr>
            <w:tcW w:w="2120"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b/>
                <w:sz w:val="24"/>
                <w:szCs w:val="24"/>
                <w:highlight w:val="none"/>
              </w:rPr>
            </w:pPr>
          </w:p>
        </w:tc>
        <w:tc>
          <w:tcPr>
            <w:tcW w:w="2120"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b/>
                <w:sz w:val="24"/>
                <w:szCs w:val="24"/>
                <w:highlight w:val="none"/>
              </w:rPr>
            </w:pPr>
          </w:p>
        </w:tc>
        <w:tc>
          <w:tcPr>
            <w:tcW w:w="2120"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b/>
                <w:sz w:val="24"/>
                <w:szCs w:val="24"/>
                <w:highlight w:val="none"/>
              </w:rPr>
            </w:pPr>
          </w:p>
        </w:tc>
        <w:tc>
          <w:tcPr>
            <w:tcW w:w="2120"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b/>
                <w:sz w:val="24"/>
                <w:szCs w:val="24"/>
                <w:highlight w:val="none"/>
              </w:rPr>
            </w:pPr>
          </w:p>
        </w:tc>
        <w:tc>
          <w:tcPr>
            <w:tcW w:w="2120"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b/>
                <w:sz w:val="24"/>
                <w:szCs w:val="24"/>
                <w:highlight w:val="none"/>
              </w:rPr>
            </w:pPr>
          </w:p>
        </w:tc>
        <w:tc>
          <w:tcPr>
            <w:tcW w:w="2120"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p>
        </w:tc>
        <w:tc>
          <w:tcPr>
            <w:tcW w:w="2129"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79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p>
        </w:tc>
        <w:tc>
          <w:tcPr>
            <w:tcW w:w="2129"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79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b/>
                <w:sz w:val="24"/>
                <w:szCs w:val="24"/>
                <w:highlight w:val="none"/>
              </w:rPr>
            </w:pPr>
          </w:p>
        </w:tc>
        <w:tc>
          <w:tcPr>
            <w:tcW w:w="2120"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808"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b/>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tcPr>
          <w:p>
            <w:pPr>
              <w:shd w:val="clear"/>
              <w:tabs>
                <w:tab w:val="left" w:pos="900"/>
                <w:tab w:val="left" w:pos="1080"/>
                <w:tab w:val="left" w:pos="1260"/>
              </w:tabs>
              <w:spacing w:line="440" w:lineRule="exac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504"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jc w:val="center"/>
              <w:rPr>
                <w:rFonts w:ascii="宋体" w:hAnsi="宋体" w:cs="宋体"/>
                <w:sz w:val="24"/>
                <w:szCs w:val="24"/>
                <w:highlight w:val="none"/>
              </w:rPr>
            </w:pPr>
          </w:p>
        </w:tc>
        <w:tc>
          <w:tcPr>
            <w:tcW w:w="2129" w:type="dxa"/>
            <w:gridSpan w:val="2"/>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pacing w:val="-4"/>
                <w:sz w:val="24"/>
                <w:szCs w:val="24"/>
                <w:highlight w:val="none"/>
              </w:rPr>
            </w:pPr>
          </w:p>
        </w:tc>
        <w:tc>
          <w:tcPr>
            <w:tcW w:w="179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c>
          <w:tcPr>
            <w:tcW w:w="1505" w:type="dxa"/>
            <w:tcBorders>
              <w:top w:val="single" w:color="auto" w:sz="4" w:space="0"/>
              <w:left w:val="single" w:color="auto" w:sz="4" w:space="0"/>
              <w:bottom w:val="single" w:color="auto" w:sz="4" w:space="0"/>
              <w:right w:val="single" w:color="auto" w:sz="4" w:space="0"/>
            </w:tcBorders>
            <w:vAlign w:val="center"/>
          </w:tcPr>
          <w:p>
            <w:pPr>
              <w:shd w:val="clear"/>
              <w:tabs>
                <w:tab w:val="left" w:pos="900"/>
                <w:tab w:val="left" w:pos="1080"/>
                <w:tab w:val="left" w:pos="1260"/>
              </w:tabs>
              <w:spacing w:line="440" w:lineRule="exact"/>
              <w:rPr>
                <w:rFonts w:ascii="宋体" w:hAnsi="宋体" w:cs="宋体"/>
                <w:sz w:val="24"/>
                <w:szCs w:val="24"/>
                <w:highlight w:val="none"/>
              </w:rPr>
            </w:pPr>
          </w:p>
        </w:tc>
      </w:tr>
    </w:tbl>
    <w:p>
      <w:pPr>
        <w:shd w:val="clear"/>
        <w:spacing w:line="440" w:lineRule="exact"/>
        <w:ind w:firstLine="420" w:firstLineChars="175"/>
        <w:rPr>
          <w:rFonts w:ascii="宋体" w:hAnsi="宋体" w:cs="宋体"/>
          <w:sz w:val="24"/>
          <w:szCs w:val="24"/>
          <w:highlight w:val="none"/>
        </w:rPr>
      </w:pPr>
      <w:r>
        <w:rPr>
          <w:rFonts w:hint="eastAsia" w:ascii="宋体" w:hAnsi="宋体" w:cs="宋体"/>
          <w:sz w:val="24"/>
          <w:szCs w:val="24"/>
          <w:highlight w:val="none"/>
        </w:rPr>
        <w:t>3、</w:t>
      </w:r>
      <w:r>
        <w:rPr>
          <w:rFonts w:hint="eastAsia" w:asciiTheme="minorEastAsia" w:hAnsiTheme="minorEastAsia" w:eastAsiaTheme="minorEastAsia" w:cstheme="minorEastAsia"/>
          <w:sz w:val="24"/>
          <w:szCs w:val="24"/>
          <w:highlight w:val="none"/>
        </w:rPr>
        <w:t>施工组织设计文件</w:t>
      </w:r>
      <w:r>
        <w:rPr>
          <w:rFonts w:hint="eastAsia" w:ascii="宋体" w:hAnsi="宋体" w:cs="宋体"/>
          <w:sz w:val="24"/>
          <w:szCs w:val="24"/>
          <w:highlight w:val="none"/>
        </w:rPr>
        <w:br w:type="textWrapping" w:clear="all"/>
      </w:r>
      <w:r>
        <w:rPr>
          <w:rFonts w:hint="eastAsia" w:ascii="宋体" w:hAnsi="宋体" w:cs="宋体"/>
          <w:sz w:val="24"/>
          <w:szCs w:val="24"/>
          <w:highlight w:val="none"/>
        </w:rPr>
        <w:t>注：依据招标人提供的工程进度框架计划和计划工期，投标人制定进度计划、工期及人员组织配备。</w:t>
      </w:r>
    </w:p>
    <w:p>
      <w:pPr>
        <w:shd w:val="clear"/>
        <w:spacing w:line="440" w:lineRule="exact"/>
        <w:ind w:firstLine="420" w:firstLineChars="175"/>
        <w:rPr>
          <w:rFonts w:ascii="宋体" w:hAnsi="宋体" w:cs="宋体"/>
          <w:sz w:val="24"/>
          <w:highlight w:val="none"/>
        </w:rPr>
      </w:pPr>
      <w:r>
        <w:rPr>
          <w:rFonts w:hint="eastAsia" w:ascii="宋体" w:hAnsi="宋体" w:cs="宋体"/>
          <w:sz w:val="24"/>
          <w:szCs w:val="24"/>
          <w:highlight w:val="none"/>
        </w:rPr>
        <w:t>特别说明：大部分分项项目将并发同时开工，投标人应注意人员组织安排并保证合同执</w:t>
      </w:r>
      <w:r>
        <w:rPr>
          <w:rFonts w:hint="eastAsia" w:ascii="宋体" w:hAnsi="宋体" w:cs="宋体"/>
          <w:sz w:val="24"/>
          <w:highlight w:val="none"/>
        </w:rPr>
        <w:t>行时按计划全部到位。</w:t>
      </w:r>
    </w:p>
    <w:p>
      <w:pPr>
        <w:shd w:val="clear"/>
        <w:spacing w:line="440" w:lineRule="exact"/>
        <w:ind w:left="420"/>
        <w:jc w:val="center"/>
        <w:outlineLvl w:val="1"/>
        <w:rPr>
          <w:rFonts w:ascii="宋体" w:hAnsi="宋体" w:cs="宋体"/>
          <w:b/>
          <w:bCs/>
          <w:sz w:val="28"/>
          <w:szCs w:val="28"/>
          <w:highlight w:val="none"/>
        </w:rPr>
      </w:pPr>
      <w:r>
        <w:rPr>
          <w:rFonts w:hint="eastAsia" w:ascii="宋体" w:hAnsi="宋体" w:cs="宋体"/>
          <w:b/>
          <w:bCs/>
          <w:sz w:val="28"/>
          <w:szCs w:val="28"/>
          <w:highlight w:val="none"/>
        </w:rPr>
        <w:t>11.工程预算书</w:t>
      </w:r>
    </w:p>
    <w:p>
      <w:pPr>
        <w:pStyle w:val="45"/>
        <w:shd w:val="clear"/>
        <w:ind w:firstLine="400"/>
        <w:rPr>
          <w:highlight w:val="none"/>
        </w:rPr>
      </w:pPr>
    </w:p>
    <w:p>
      <w:pPr>
        <w:pStyle w:val="45"/>
        <w:shd w:val="clear"/>
        <w:ind w:firstLine="560"/>
        <w:rPr>
          <w:sz w:val="28"/>
          <w:szCs w:val="28"/>
          <w:highlight w:val="none"/>
        </w:rPr>
      </w:pPr>
    </w:p>
    <w:p>
      <w:pPr>
        <w:pStyle w:val="45"/>
        <w:shd w:val="clear"/>
        <w:ind w:firstLine="560"/>
        <w:rPr>
          <w:sz w:val="28"/>
          <w:szCs w:val="28"/>
          <w:highlight w:val="none"/>
        </w:rPr>
        <w:sectPr>
          <w:headerReference r:id="rId11" w:type="default"/>
          <w:pgSz w:w="11907" w:h="16840"/>
          <w:pgMar w:top="1361" w:right="1134" w:bottom="1361" w:left="1134" w:header="720" w:footer="720" w:gutter="0"/>
          <w:cols w:space="720" w:num="1"/>
          <w:docGrid w:linePitch="285" w:charSpace="0"/>
        </w:sectPr>
      </w:pPr>
      <w:r>
        <w:rPr>
          <w:rFonts w:hint="eastAsia"/>
          <w:sz w:val="28"/>
          <w:szCs w:val="28"/>
          <w:highlight w:val="none"/>
        </w:rPr>
        <w:t>工程预算书严格按照招标人提供的工程量清单进行编制</w:t>
      </w:r>
      <w:r>
        <w:rPr>
          <w:rFonts w:hint="eastAsia"/>
          <w:sz w:val="28"/>
          <w:szCs w:val="28"/>
          <w:highlight w:val="none"/>
          <w:lang w:eastAsia="zh-CN"/>
        </w:rPr>
        <w:t>（</w:t>
      </w:r>
      <w:r>
        <w:rPr>
          <w:rFonts w:hint="eastAsia"/>
          <w:sz w:val="28"/>
          <w:szCs w:val="28"/>
          <w:highlight w:val="none"/>
          <w:lang w:val="en-US" w:eastAsia="zh-CN"/>
        </w:rPr>
        <w:t>分项报价表可以由本项目工程预算书代替</w:t>
      </w:r>
      <w:r>
        <w:rPr>
          <w:rFonts w:hint="eastAsia"/>
          <w:sz w:val="28"/>
          <w:szCs w:val="28"/>
          <w:highlight w:val="none"/>
          <w:lang w:eastAsia="zh-CN"/>
        </w:rPr>
        <w:t>）</w:t>
      </w:r>
      <w:r>
        <w:rPr>
          <w:rFonts w:hint="eastAsia"/>
          <w:sz w:val="28"/>
          <w:szCs w:val="28"/>
          <w:highlight w:val="none"/>
        </w:rPr>
        <w:t>。</w:t>
      </w:r>
    </w:p>
    <w:p>
      <w:pPr>
        <w:shd w:val="clear"/>
        <w:spacing w:line="440" w:lineRule="exact"/>
        <w:ind w:left="420"/>
        <w:jc w:val="center"/>
        <w:outlineLvl w:val="1"/>
        <w:rPr>
          <w:highlight w:val="none"/>
        </w:rPr>
      </w:pPr>
      <w:r>
        <w:rPr>
          <w:rFonts w:hint="eastAsia" w:ascii="宋体" w:hAnsi="宋体" w:cs="宋体"/>
          <w:b/>
          <w:bCs/>
          <w:sz w:val="28"/>
          <w:szCs w:val="28"/>
          <w:highlight w:val="none"/>
        </w:rPr>
        <w:t>12.联合体协议书</w:t>
      </w:r>
    </w:p>
    <w:p>
      <w:pPr>
        <w:shd w:val="clear"/>
        <w:topLinePunct/>
        <w:spacing w:line="440" w:lineRule="exact"/>
        <w:ind w:firstLine="400" w:firstLineChars="200"/>
        <w:rPr>
          <w:szCs w:val="21"/>
          <w:highlight w:val="none"/>
          <w:u w:val="single"/>
        </w:rPr>
      </w:pPr>
    </w:p>
    <w:p>
      <w:pPr>
        <w:shd w:val="clear"/>
        <w:topLinePunct/>
        <w:spacing w:line="440" w:lineRule="exact"/>
        <w:ind w:firstLine="400" w:firstLineChars="200"/>
        <w:rPr>
          <w:szCs w:val="21"/>
          <w:highlight w:val="none"/>
        </w:rPr>
      </w:pPr>
      <w:r>
        <w:rPr>
          <w:szCs w:val="21"/>
          <w:highlight w:val="none"/>
          <w:u w:val="single"/>
        </w:rPr>
        <w:t xml:space="preserve">          </w:t>
      </w:r>
      <w:r>
        <w:rPr>
          <w:szCs w:val="21"/>
          <w:highlight w:val="none"/>
        </w:rPr>
        <w:t>（所有成员单位名称）自愿组成</w:t>
      </w:r>
      <w:r>
        <w:rPr>
          <w:rFonts w:hint="eastAsia"/>
          <w:szCs w:val="21"/>
          <w:highlight w:val="none"/>
        </w:rPr>
        <w:t>联合体</w:t>
      </w:r>
      <w:r>
        <w:rPr>
          <w:szCs w:val="21"/>
          <w:highlight w:val="none"/>
        </w:rPr>
        <w:t>，共同参加</w:t>
      </w:r>
      <w:r>
        <w:rPr>
          <w:szCs w:val="21"/>
          <w:highlight w:val="none"/>
          <w:u w:val="single"/>
        </w:rPr>
        <w:t xml:space="preserve">   </w:t>
      </w:r>
      <w:r>
        <w:rPr>
          <w:rFonts w:hint="eastAsia"/>
          <w:szCs w:val="21"/>
          <w:highlight w:val="none"/>
          <w:u w:val="single"/>
        </w:rPr>
        <w:t xml:space="preserve">           </w:t>
      </w:r>
      <w:r>
        <w:rPr>
          <w:szCs w:val="21"/>
          <w:highlight w:val="none"/>
          <w:u w:val="single"/>
        </w:rPr>
        <w:t xml:space="preserve">  </w:t>
      </w:r>
      <w:r>
        <w:rPr>
          <w:szCs w:val="21"/>
          <w:highlight w:val="none"/>
        </w:rPr>
        <w:t>（项目名称）投标。现就联合体投标事宜订立如下协议。</w:t>
      </w:r>
    </w:p>
    <w:p>
      <w:pPr>
        <w:shd w:val="clear"/>
        <w:topLinePunct/>
        <w:spacing w:line="440" w:lineRule="exact"/>
        <w:ind w:firstLine="400" w:firstLineChars="200"/>
        <w:rPr>
          <w:szCs w:val="21"/>
          <w:highlight w:val="none"/>
        </w:rPr>
      </w:pPr>
      <w:r>
        <w:rPr>
          <w:szCs w:val="21"/>
          <w:highlight w:val="none"/>
        </w:rPr>
        <w:t>1</w:t>
      </w:r>
      <w:r>
        <w:rPr>
          <w:rFonts w:hint="eastAsia"/>
          <w:szCs w:val="21"/>
          <w:highlight w:val="none"/>
        </w:rPr>
        <w:t>、</w:t>
      </w:r>
      <w:r>
        <w:rPr>
          <w:szCs w:val="21"/>
          <w:highlight w:val="none"/>
          <w:u w:val="single"/>
        </w:rPr>
        <w:t xml:space="preserve">       </w:t>
      </w:r>
      <w:r>
        <w:rPr>
          <w:szCs w:val="21"/>
          <w:highlight w:val="none"/>
        </w:rPr>
        <w:t>（某成员单位名称）为</w:t>
      </w:r>
      <w:r>
        <w:rPr>
          <w:szCs w:val="21"/>
          <w:highlight w:val="none"/>
          <w:u w:val="single"/>
        </w:rPr>
        <w:t xml:space="preserve">   </w:t>
      </w:r>
      <w:r>
        <w:rPr>
          <w:rFonts w:hint="eastAsia"/>
          <w:szCs w:val="21"/>
          <w:highlight w:val="none"/>
          <w:u w:val="single"/>
        </w:rPr>
        <w:t xml:space="preserve">   </w:t>
      </w:r>
      <w:r>
        <w:rPr>
          <w:szCs w:val="21"/>
          <w:highlight w:val="none"/>
          <w:u w:val="single"/>
        </w:rPr>
        <w:t xml:space="preserve">  </w:t>
      </w:r>
      <w:r>
        <w:rPr>
          <w:szCs w:val="21"/>
          <w:highlight w:val="none"/>
        </w:rPr>
        <w:t>（联合体名称）牵头人。</w:t>
      </w:r>
    </w:p>
    <w:p>
      <w:pPr>
        <w:shd w:val="clear"/>
        <w:topLinePunct/>
        <w:spacing w:line="440" w:lineRule="exact"/>
        <w:ind w:firstLine="400" w:firstLineChars="200"/>
        <w:rPr>
          <w:szCs w:val="21"/>
          <w:highlight w:val="none"/>
        </w:rPr>
      </w:pPr>
      <w:r>
        <w:rPr>
          <w:szCs w:val="21"/>
          <w:highlight w:val="none"/>
        </w:rPr>
        <w:t>2、联合体牵头人</w:t>
      </w:r>
      <w:r>
        <w:rPr>
          <w:rFonts w:hint="eastAsia"/>
          <w:szCs w:val="21"/>
          <w:highlight w:val="none"/>
        </w:rPr>
        <w:t>合法代表联合体各成员负责本招标项目投标文件编制和合同谈判活动，并代表联合体提交和接收相关的资料、信息及指示，并处理与之有关的一切事务，</w:t>
      </w:r>
      <w:r>
        <w:rPr>
          <w:szCs w:val="21"/>
          <w:highlight w:val="none"/>
        </w:rPr>
        <w:t>负责合同</w:t>
      </w:r>
      <w:r>
        <w:rPr>
          <w:rFonts w:hint="eastAsia"/>
          <w:szCs w:val="21"/>
          <w:highlight w:val="none"/>
        </w:rPr>
        <w:t>的签订及合同</w:t>
      </w:r>
      <w:r>
        <w:rPr>
          <w:szCs w:val="21"/>
          <w:highlight w:val="none"/>
        </w:rPr>
        <w:t>实施阶段的主办、组织和协调工作。</w:t>
      </w:r>
    </w:p>
    <w:p>
      <w:pPr>
        <w:shd w:val="clear"/>
        <w:topLinePunct/>
        <w:spacing w:line="440" w:lineRule="exact"/>
        <w:ind w:firstLine="400" w:firstLineChars="200"/>
        <w:rPr>
          <w:szCs w:val="21"/>
          <w:highlight w:val="none"/>
        </w:rPr>
      </w:pPr>
      <w:r>
        <w:rPr>
          <w:szCs w:val="21"/>
          <w:highlight w:val="none"/>
        </w:rPr>
        <w:t>3、联合体将严格按照招标文件的各项要求，递交投标文件，履行合同，并对</w:t>
      </w:r>
      <w:r>
        <w:rPr>
          <w:rFonts w:hint="eastAsia"/>
          <w:szCs w:val="21"/>
          <w:highlight w:val="none"/>
        </w:rPr>
        <w:t>招标人</w:t>
      </w:r>
      <w:r>
        <w:rPr>
          <w:szCs w:val="21"/>
          <w:highlight w:val="none"/>
        </w:rPr>
        <w:t>承担连带责任。</w:t>
      </w:r>
    </w:p>
    <w:p>
      <w:pPr>
        <w:shd w:val="clear"/>
        <w:topLinePunct/>
        <w:spacing w:line="440" w:lineRule="exact"/>
        <w:ind w:firstLine="400" w:firstLineChars="200"/>
        <w:rPr>
          <w:szCs w:val="21"/>
          <w:highlight w:val="none"/>
        </w:rPr>
      </w:pPr>
      <w:r>
        <w:rPr>
          <w:szCs w:val="21"/>
          <w:highlight w:val="none"/>
        </w:rPr>
        <w:t>4、联合体各成员单位内部的职责分工如下：</w:t>
      </w:r>
      <w:r>
        <w:rPr>
          <w:rFonts w:hint="eastAsia"/>
          <w:szCs w:val="21"/>
          <w:highlight w:val="none"/>
          <w:u w:val="single"/>
        </w:rPr>
        <w:t xml:space="preserve">       </w:t>
      </w:r>
      <w:r>
        <w:rPr>
          <w:szCs w:val="21"/>
          <w:highlight w:val="none"/>
          <w:u w:val="single"/>
        </w:rPr>
        <w:t xml:space="preserve"> </w:t>
      </w:r>
      <w:r>
        <w:rPr>
          <w:rFonts w:hint="eastAsia"/>
          <w:szCs w:val="21"/>
          <w:highlight w:val="none"/>
          <w:u w:val="single"/>
        </w:rPr>
        <w:t xml:space="preserve"> </w:t>
      </w:r>
      <w:r>
        <w:rPr>
          <w:szCs w:val="21"/>
          <w:highlight w:val="none"/>
          <w:u w:val="single"/>
        </w:rPr>
        <w:t xml:space="preserve">     </w:t>
      </w:r>
      <w:r>
        <w:rPr>
          <w:szCs w:val="21"/>
          <w:highlight w:val="none"/>
        </w:rPr>
        <w:t xml:space="preserve"> 。</w:t>
      </w:r>
    </w:p>
    <w:p>
      <w:pPr>
        <w:shd w:val="clear"/>
        <w:topLinePunct/>
        <w:spacing w:line="440" w:lineRule="exact"/>
        <w:ind w:firstLine="400" w:firstLineChars="200"/>
        <w:rPr>
          <w:szCs w:val="21"/>
          <w:highlight w:val="none"/>
        </w:rPr>
      </w:pPr>
      <w:r>
        <w:rPr>
          <w:szCs w:val="21"/>
          <w:highlight w:val="none"/>
        </w:rPr>
        <w:t xml:space="preserve">5、本协议书自签署之日起生效，合同履行完毕后自动失效。 </w:t>
      </w:r>
    </w:p>
    <w:p>
      <w:pPr>
        <w:shd w:val="clear"/>
        <w:topLinePunct/>
        <w:spacing w:line="440" w:lineRule="exact"/>
        <w:ind w:firstLine="400" w:firstLineChars="200"/>
        <w:rPr>
          <w:szCs w:val="21"/>
          <w:highlight w:val="none"/>
        </w:rPr>
      </w:pPr>
      <w:r>
        <w:rPr>
          <w:szCs w:val="21"/>
          <w:highlight w:val="none"/>
        </w:rPr>
        <w:t>6、本协议书一式</w:t>
      </w:r>
      <w:r>
        <w:rPr>
          <w:szCs w:val="21"/>
          <w:highlight w:val="none"/>
          <w:u w:val="single"/>
        </w:rPr>
        <w:t xml:space="preserve">  </w:t>
      </w:r>
      <w:r>
        <w:rPr>
          <w:rFonts w:hint="eastAsia"/>
          <w:szCs w:val="21"/>
          <w:highlight w:val="none"/>
          <w:u w:val="single"/>
        </w:rPr>
        <w:t xml:space="preserve">  </w:t>
      </w:r>
      <w:r>
        <w:rPr>
          <w:szCs w:val="21"/>
          <w:highlight w:val="none"/>
          <w:u w:val="single"/>
        </w:rPr>
        <w:t xml:space="preserve"> </w:t>
      </w:r>
      <w:r>
        <w:rPr>
          <w:szCs w:val="21"/>
          <w:highlight w:val="none"/>
        </w:rPr>
        <w:t>份，联合体成员和招标人各执一份。</w:t>
      </w:r>
    </w:p>
    <w:p>
      <w:pPr>
        <w:shd w:val="clear"/>
        <w:topLinePunct/>
        <w:spacing w:line="440" w:lineRule="exact"/>
        <w:rPr>
          <w:szCs w:val="21"/>
          <w:highlight w:val="none"/>
        </w:rPr>
      </w:pPr>
    </w:p>
    <w:p>
      <w:pPr>
        <w:shd w:val="clear"/>
        <w:topLinePunct/>
        <w:spacing w:line="440" w:lineRule="exact"/>
        <w:ind w:firstLine="400" w:firstLineChars="200"/>
        <w:rPr>
          <w:szCs w:val="21"/>
          <w:highlight w:val="none"/>
        </w:rPr>
      </w:pPr>
      <w:r>
        <w:rPr>
          <w:rFonts w:hint="eastAsia"/>
          <w:szCs w:val="21"/>
          <w:highlight w:val="none"/>
        </w:rPr>
        <w:t>注：本协议书由委托代理人签字的，应附法定代表人签字的授权委托书。</w:t>
      </w:r>
    </w:p>
    <w:p>
      <w:pPr>
        <w:shd w:val="clear"/>
        <w:topLinePunct/>
        <w:spacing w:line="440" w:lineRule="exact"/>
        <w:rPr>
          <w:szCs w:val="21"/>
          <w:highlight w:val="none"/>
        </w:rPr>
      </w:pPr>
    </w:p>
    <w:p>
      <w:pPr>
        <w:shd w:val="clear"/>
        <w:topLinePunct/>
        <w:spacing w:line="440" w:lineRule="exact"/>
        <w:rPr>
          <w:szCs w:val="21"/>
          <w:highlight w:val="none"/>
        </w:rPr>
      </w:pPr>
      <w:r>
        <w:rPr>
          <w:szCs w:val="21"/>
          <w:highlight w:val="none"/>
        </w:rPr>
        <w:t>牵头人名称：</w:t>
      </w:r>
      <w:r>
        <w:rPr>
          <w:szCs w:val="21"/>
          <w:highlight w:val="none"/>
          <w:u w:val="single"/>
        </w:rPr>
        <w:t xml:space="preserve">                                 </w:t>
      </w:r>
      <w:r>
        <w:rPr>
          <w:szCs w:val="21"/>
          <w:highlight w:val="none"/>
        </w:rPr>
        <w:t>（盖单位章）</w:t>
      </w:r>
    </w:p>
    <w:p>
      <w:pPr>
        <w:shd w:val="clear"/>
        <w:topLinePunct/>
        <w:spacing w:line="440" w:lineRule="exact"/>
        <w:rPr>
          <w:szCs w:val="21"/>
          <w:highlight w:val="none"/>
        </w:rPr>
      </w:pPr>
      <w:r>
        <w:rPr>
          <w:szCs w:val="21"/>
          <w:highlight w:val="none"/>
        </w:rPr>
        <w:t>法定代表人或其委托代理人：</w:t>
      </w:r>
      <w:r>
        <w:rPr>
          <w:szCs w:val="21"/>
          <w:highlight w:val="none"/>
          <w:u w:val="single"/>
        </w:rPr>
        <w:t xml:space="preserve">                    </w:t>
      </w:r>
      <w:r>
        <w:rPr>
          <w:szCs w:val="21"/>
          <w:highlight w:val="none"/>
        </w:rPr>
        <w:t>（签字</w:t>
      </w:r>
      <w:r>
        <w:rPr>
          <w:rFonts w:hint="eastAsia"/>
          <w:szCs w:val="21"/>
          <w:highlight w:val="none"/>
        </w:rPr>
        <w:t>或盖章</w:t>
      </w:r>
      <w:r>
        <w:rPr>
          <w:szCs w:val="21"/>
          <w:highlight w:val="none"/>
        </w:rPr>
        <w:t>）</w:t>
      </w:r>
    </w:p>
    <w:p>
      <w:pPr>
        <w:shd w:val="clear"/>
        <w:topLinePunct/>
        <w:spacing w:line="440" w:lineRule="exact"/>
        <w:rPr>
          <w:szCs w:val="21"/>
          <w:highlight w:val="none"/>
        </w:rPr>
      </w:pPr>
    </w:p>
    <w:p>
      <w:pPr>
        <w:shd w:val="clear"/>
        <w:topLinePunct/>
        <w:spacing w:line="440" w:lineRule="exact"/>
        <w:rPr>
          <w:szCs w:val="21"/>
          <w:highlight w:val="none"/>
        </w:rPr>
      </w:pPr>
      <w:r>
        <w:rPr>
          <w:szCs w:val="21"/>
          <w:highlight w:val="none"/>
        </w:rPr>
        <w:t>成员一名称：</w:t>
      </w:r>
      <w:r>
        <w:rPr>
          <w:szCs w:val="21"/>
          <w:highlight w:val="none"/>
          <w:u w:val="single"/>
        </w:rPr>
        <w:t xml:space="preserve">                                 </w:t>
      </w:r>
      <w:r>
        <w:rPr>
          <w:szCs w:val="21"/>
          <w:highlight w:val="none"/>
        </w:rPr>
        <w:t>（盖单位章）</w:t>
      </w:r>
    </w:p>
    <w:p>
      <w:pPr>
        <w:shd w:val="clear"/>
        <w:topLinePunct/>
        <w:spacing w:line="440" w:lineRule="exact"/>
        <w:rPr>
          <w:szCs w:val="21"/>
          <w:highlight w:val="none"/>
        </w:rPr>
      </w:pPr>
      <w:r>
        <w:rPr>
          <w:szCs w:val="21"/>
          <w:highlight w:val="none"/>
        </w:rPr>
        <w:t>法定代表人或其委托代理人：</w:t>
      </w:r>
      <w:r>
        <w:rPr>
          <w:szCs w:val="21"/>
          <w:highlight w:val="none"/>
          <w:u w:val="single"/>
        </w:rPr>
        <w:t xml:space="preserve">                     </w:t>
      </w:r>
      <w:r>
        <w:rPr>
          <w:szCs w:val="21"/>
          <w:highlight w:val="none"/>
        </w:rPr>
        <w:t>（签字</w:t>
      </w:r>
      <w:r>
        <w:rPr>
          <w:rFonts w:hint="eastAsia"/>
          <w:szCs w:val="21"/>
          <w:highlight w:val="none"/>
        </w:rPr>
        <w:t>或盖章</w:t>
      </w:r>
      <w:r>
        <w:rPr>
          <w:szCs w:val="21"/>
          <w:highlight w:val="none"/>
        </w:rPr>
        <w:t>）</w:t>
      </w:r>
    </w:p>
    <w:p>
      <w:pPr>
        <w:shd w:val="clear"/>
        <w:topLinePunct/>
        <w:spacing w:line="440" w:lineRule="exact"/>
        <w:rPr>
          <w:szCs w:val="21"/>
          <w:highlight w:val="none"/>
        </w:rPr>
      </w:pPr>
    </w:p>
    <w:p>
      <w:pPr>
        <w:shd w:val="clear"/>
        <w:topLinePunct/>
        <w:spacing w:line="440" w:lineRule="exact"/>
        <w:rPr>
          <w:szCs w:val="21"/>
          <w:highlight w:val="none"/>
        </w:rPr>
      </w:pPr>
      <w:r>
        <w:rPr>
          <w:szCs w:val="21"/>
          <w:highlight w:val="none"/>
        </w:rPr>
        <w:t xml:space="preserve"> </w:t>
      </w:r>
    </w:p>
    <w:p>
      <w:pPr>
        <w:shd w:val="clear"/>
        <w:topLinePunct/>
        <w:spacing w:line="440" w:lineRule="exact"/>
        <w:rPr>
          <w:szCs w:val="21"/>
          <w:highlight w:val="none"/>
        </w:rPr>
      </w:pPr>
    </w:p>
    <w:p>
      <w:pPr>
        <w:shd w:val="clear"/>
        <w:ind w:firstLine="2742" w:firstLineChars="1371"/>
        <w:jc w:val="right"/>
        <w:rPr>
          <w:rFonts w:ascii="仿宋" w:hAnsi="仿宋" w:eastAsia="仿宋"/>
          <w:b/>
          <w:sz w:val="28"/>
          <w:szCs w:val="28"/>
          <w:highlight w:val="none"/>
        </w:rPr>
      </w:pPr>
      <w:r>
        <w:rPr>
          <w:highlight w:val="none"/>
          <w:u w:val="single"/>
        </w:rPr>
        <w:t xml:space="preserve">        </w:t>
      </w:r>
      <w:r>
        <w:rPr>
          <w:highlight w:val="none"/>
        </w:rPr>
        <w:t>年</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月</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日</w:t>
      </w:r>
    </w:p>
    <w:p>
      <w:pPr>
        <w:shd w:val="clear"/>
        <w:adjustRightInd w:val="0"/>
        <w:snapToGrid w:val="0"/>
        <w:spacing w:line="440" w:lineRule="exact"/>
        <w:jc w:val="center"/>
        <w:outlineLvl w:val="0"/>
        <w:rPr>
          <w:rFonts w:ascii="宋体" w:hAnsi="宋体" w:cs="宋体"/>
          <w:b/>
          <w:color w:val="FF0000"/>
          <w:kern w:val="44"/>
          <w:sz w:val="44"/>
          <w:highlight w:val="none"/>
        </w:rPr>
      </w:pPr>
      <w:r>
        <w:rPr>
          <w:rFonts w:hint="eastAsia" w:ascii="宋体" w:hAnsi="宋体" w:cs="宋体"/>
          <w:kern w:val="44"/>
          <w:highlight w:val="none"/>
        </w:rPr>
        <w:br w:type="page"/>
      </w:r>
      <w:r>
        <w:rPr>
          <w:rFonts w:hint="eastAsia" w:ascii="宋体" w:hAnsi="宋体" w:cs="宋体"/>
          <w:b/>
          <w:kern w:val="44"/>
          <w:sz w:val="36"/>
          <w:szCs w:val="36"/>
          <w:highlight w:val="none"/>
        </w:rPr>
        <w:t>第五章 安装施工及验收规范</w:t>
      </w:r>
    </w:p>
    <w:p>
      <w:pPr>
        <w:shd w:val="clear"/>
        <w:adjustRightInd w:val="0"/>
        <w:snapToGrid w:val="0"/>
        <w:spacing w:line="440" w:lineRule="exact"/>
        <w:jc w:val="center"/>
        <w:rPr>
          <w:rFonts w:ascii="宋体" w:hAnsi="宋体" w:cs="宋体"/>
          <w:b/>
          <w:kern w:val="44"/>
          <w:sz w:val="44"/>
          <w:highlight w:val="none"/>
        </w:rPr>
      </w:pPr>
    </w:p>
    <w:p>
      <w:pPr>
        <w:shd w:val="clear"/>
        <w:spacing w:line="440" w:lineRule="exact"/>
        <w:ind w:left="420"/>
        <w:rPr>
          <w:rFonts w:ascii="宋体" w:hAnsi="宋体" w:cs="宋体"/>
          <w:sz w:val="24"/>
          <w:highlight w:val="none"/>
        </w:rPr>
      </w:pPr>
      <w:r>
        <w:rPr>
          <w:rFonts w:hint="eastAsia" w:ascii="宋体" w:hAnsi="宋体" w:cs="宋体"/>
          <w:sz w:val="24"/>
          <w:highlight w:val="none"/>
        </w:rPr>
        <w:t xml:space="preserve">1.GB50231-98机械设备安装工程施工及验收通用规范           </w:t>
      </w:r>
    </w:p>
    <w:p>
      <w:pPr>
        <w:shd w:val="clear"/>
        <w:spacing w:line="440" w:lineRule="exact"/>
        <w:ind w:left="420"/>
        <w:rPr>
          <w:rFonts w:ascii="宋体" w:hAnsi="宋体" w:cs="宋体"/>
          <w:sz w:val="24"/>
          <w:highlight w:val="none"/>
        </w:rPr>
      </w:pPr>
      <w:r>
        <w:rPr>
          <w:rFonts w:hint="eastAsia" w:ascii="宋体" w:hAnsi="宋体" w:cs="宋体"/>
          <w:sz w:val="24"/>
          <w:highlight w:val="none"/>
        </w:rPr>
        <w:t>2.GB50235-97工业金属管道工程施工及验收规范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3.GB50236现场设备、工业管道焊接工程施工及验收规范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4.GB50184-</w:t>
      </w:r>
      <w:r>
        <w:rPr>
          <w:rFonts w:hint="eastAsia" w:ascii="宋体" w:hAnsi="宋体" w:cs="宋体"/>
          <w:color w:val="FF0000"/>
          <w:sz w:val="24"/>
          <w:highlight w:val="none"/>
        </w:rPr>
        <w:t>93</w:t>
      </w:r>
      <w:r>
        <w:rPr>
          <w:rFonts w:hint="eastAsia" w:ascii="宋体" w:hAnsi="宋体" w:cs="宋体"/>
          <w:sz w:val="24"/>
          <w:highlight w:val="none"/>
        </w:rPr>
        <w:t>工业金属管道工程质量检验评定标准</w:t>
      </w:r>
    </w:p>
    <w:p>
      <w:pPr>
        <w:shd w:val="clear"/>
        <w:spacing w:line="440" w:lineRule="exact"/>
        <w:ind w:left="420"/>
        <w:rPr>
          <w:rFonts w:ascii="宋体" w:hAnsi="宋体" w:cs="宋体"/>
          <w:sz w:val="24"/>
          <w:highlight w:val="none"/>
        </w:rPr>
      </w:pPr>
      <w:r>
        <w:rPr>
          <w:rFonts w:hint="eastAsia" w:ascii="宋体" w:hAnsi="宋体" w:cs="宋体"/>
          <w:sz w:val="24"/>
          <w:highlight w:val="none"/>
        </w:rPr>
        <w:t>5.GB50185-</w:t>
      </w:r>
      <w:r>
        <w:rPr>
          <w:rFonts w:hint="eastAsia" w:ascii="宋体" w:hAnsi="宋体" w:cs="宋体"/>
          <w:color w:val="FF0000"/>
          <w:sz w:val="24"/>
          <w:highlight w:val="none"/>
        </w:rPr>
        <w:t>93</w:t>
      </w:r>
      <w:r>
        <w:rPr>
          <w:rFonts w:hint="eastAsia" w:ascii="宋体" w:hAnsi="宋体" w:cs="宋体"/>
          <w:sz w:val="24"/>
          <w:highlight w:val="none"/>
        </w:rPr>
        <w:t>工业设备及管道绝热工程质量检验评定标准</w:t>
      </w:r>
    </w:p>
    <w:p>
      <w:pPr>
        <w:shd w:val="clear"/>
        <w:spacing w:line="440" w:lineRule="exact"/>
        <w:ind w:left="420"/>
        <w:rPr>
          <w:rFonts w:ascii="宋体" w:hAnsi="宋体" w:cs="宋体"/>
          <w:sz w:val="24"/>
          <w:highlight w:val="none"/>
        </w:rPr>
      </w:pPr>
      <w:r>
        <w:rPr>
          <w:rFonts w:hint="eastAsia" w:ascii="宋体" w:hAnsi="宋体" w:cs="宋体"/>
          <w:sz w:val="24"/>
          <w:highlight w:val="none"/>
        </w:rPr>
        <w:t>6.GB50252-</w:t>
      </w:r>
      <w:r>
        <w:rPr>
          <w:rFonts w:hint="eastAsia" w:ascii="宋体" w:hAnsi="宋体" w:cs="宋体"/>
          <w:color w:val="FF0000"/>
          <w:sz w:val="24"/>
          <w:highlight w:val="none"/>
        </w:rPr>
        <w:t>94</w:t>
      </w:r>
      <w:r>
        <w:rPr>
          <w:rFonts w:hint="eastAsia" w:ascii="宋体" w:hAnsi="宋体" w:cs="宋体"/>
          <w:sz w:val="24"/>
          <w:highlight w:val="none"/>
        </w:rPr>
        <w:t>工业安装工程质量检验评定标准</w:t>
      </w:r>
    </w:p>
    <w:p>
      <w:pPr>
        <w:shd w:val="clear"/>
        <w:spacing w:line="440" w:lineRule="exact"/>
        <w:ind w:left="420"/>
        <w:rPr>
          <w:rFonts w:ascii="宋体" w:hAnsi="宋体" w:cs="宋体"/>
          <w:sz w:val="24"/>
          <w:highlight w:val="none"/>
        </w:rPr>
      </w:pPr>
      <w:r>
        <w:rPr>
          <w:rFonts w:hint="eastAsia" w:ascii="宋体" w:hAnsi="宋体" w:cs="宋体"/>
          <w:sz w:val="24"/>
          <w:highlight w:val="none"/>
        </w:rPr>
        <w:t>7.GB50243-2002通风与空调工程施工质量验收规范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8.GB50274-98制冷设备、空气分离设备安装工程施工及验收规范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9.GB50275-98压缩机、风机、泵安装工程施工及验收规范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10.GB50268-97给排水管道工程施工及验收规范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11.GB50254-259-96电气装置安装工程施工及验收规范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12.GB50169-92电气装置安装工程接地装置施工及验收规范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13.GB50256-96电气装置工程起重机电气装置施工及验收规范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14.GB50257-96电气装置安装工程爆炸和火灾危险环境电气装置施工及验收规范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15.GB50258-96电气安装工程1KV及以下配线工程施工及验收规范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16.GB50259-96电气装置安装电气照明装置施工及验收规范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17.GB50221-95钢结构工程质量检验评定标准</w:t>
      </w:r>
    </w:p>
    <w:p>
      <w:pPr>
        <w:shd w:val="clear"/>
        <w:spacing w:line="440" w:lineRule="exact"/>
        <w:ind w:left="420"/>
        <w:rPr>
          <w:rFonts w:ascii="宋体" w:hAnsi="宋体" w:cs="宋体"/>
          <w:sz w:val="24"/>
          <w:highlight w:val="none"/>
        </w:rPr>
      </w:pPr>
      <w:r>
        <w:rPr>
          <w:rFonts w:hint="eastAsia" w:ascii="宋体" w:hAnsi="宋体" w:cs="宋体"/>
          <w:sz w:val="24"/>
          <w:highlight w:val="none"/>
        </w:rPr>
        <w:t>18.GB50205-2001钢结构工程施工质量验收规范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19.HG20225-95化工金属管道工程施工及验收规范</w:t>
      </w:r>
    </w:p>
    <w:p>
      <w:pPr>
        <w:shd w:val="clear"/>
        <w:spacing w:line="440" w:lineRule="exact"/>
        <w:ind w:left="420"/>
        <w:rPr>
          <w:rFonts w:ascii="宋体" w:hAnsi="宋体" w:cs="宋体"/>
          <w:sz w:val="24"/>
          <w:highlight w:val="none"/>
        </w:rPr>
      </w:pPr>
      <w:r>
        <w:rPr>
          <w:rFonts w:hint="eastAsia" w:ascii="宋体" w:hAnsi="宋体" w:cs="宋体"/>
          <w:sz w:val="24"/>
          <w:highlight w:val="none"/>
        </w:rPr>
        <w:t>20．招标人提供的图纸、设备说明书的技术要求等</w:t>
      </w:r>
    </w:p>
    <w:p>
      <w:pPr>
        <w:shd w:val="clear"/>
        <w:spacing w:line="440" w:lineRule="exact"/>
        <w:ind w:left="420"/>
        <w:rPr>
          <w:rFonts w:ascii="宋体" w:hAnsi="宋体" w:cs="宋体"/>
          <w:sz w:val="24"/>
          <w:highlight w:val="none"/>
        </w:rPr>
      </w:pPr>
    </w:p>
    <w:p>
      <w:pPr>
        <w:shd w:val="clear"/>
        <w:spacing w:line="440" w:lineRule="exact"/>
        <w:ind w:left="420"/>
        <w:rPr>
          <w:rFonts w:ascii="宋体" w:hAnsi="宋体" w:cs="宋体"/>
          <w:sz w:val="24"/>
          <w:highlight w:val="none"/>
        </w:rPr>
      </w:pPr>
    </w:p>
    <w:p>
      <w:pPr>
        <w:shd w:val="clear"/>
        <w:spacing w:line="440" w:lineRule="exact"/>
        <w:ind w:left="420"/>
        <w:rPr>
          <w:rFonts w:ascii="宋体" w:hAnsi="宋体" w:cs="宋体"/>
          <w:sz w:val="24"/>
          <w:highlight w:val="none"/>
        </w:rPr>
      </w:pPr>
    </w:p>
    <w:p>
      <w:pPr>
        <w:shd w:val="clear"/>
        <w:spacing w:line="440" w:lineRule="exact"/>
        <w:ind w:left="420"/>
        <w:rPr>
          <w:rFonts w:ascii="宋体" w:hAnsi="宋体" w:cs="宋体"/>
          <w:sz w:val="24"/>
          <w:highlight w:val="none"/>
        </w:rPr>
      </w:pPr>
    </w:p>
    <w:p>
      <w:pPr>
        <w:shd w:val="clear"/>
        <w:spacing w:line="440" w:lineRule="exact"/>
        <w:ind w:left="420"/>
        <w:rPr>
          <w:rFonts w:ascii="宋体" w:hAnsi="宋体" w:cs="宋体"/>
          <w:sz w:val="24"/>
          <w:highlight w:val="none"/>
        </w:rPr>
      </w:pPr>
    </w:p>
    <w:p>
      <w:pPr>
        <w:shd w:val="clear"/>
        <w:spacing w:line="440" w:lineRule="exact"/>
        <w:ind w:left="420"/>
        <w:rPr>
          <w:rFonts w:ascii="宋体" w:hAnsi="宋体" w:cs="宋体"/>
          <w:sz w:val="24"/>
          <w:highlight w:val="none"/>
        </w:rPr>
      </w:pPr>
    </w:p>
    <w:p>
      <w:pPr>
        <w:shd w:val="clear"/>
        <w:spacing w:line="440" w:lineRule="exact"/>
        <w:ind w:left="420"/>
        <w:rPr>
          <w:rFonts w:ascii="宋体" w:hAnsi="宋体" w:cs="宋体"/>
          <w:sz w:val="24"/>
          <w:highlight w:val="none"/>
        </w:rPr>
      </w:pPr>
    </w:p>
    <w:p>
      <w:pPr>
        <w:shd w:val="clear"/>
        <w:spacing w:line="440" w:lineRule="exact"/>
        <w:ind w:left="420"/>
        <w:rPr>
          <w:rFonts w:ascii="宋体" w:hAnsi="宋体" w:cs="宋体"/>
          <w:sz w:val="24"/>
          <w:highlight w:val="none"/>
        </w:rPr>
      </w:pPr>
    </w:p>
    <w:p>
      <w:pPr>
        <w:shd w:val="clear"/>
        <w:spacing w:line="440" w:lineRule="exact"/>
        <w:ind w:left="420"/>
        <w:rPr>
          <w:rFonts w:ascii="宋体" w:hAnsi="宋体" w:cs="宋体"/>
          <w:sz w:val="24"/>
          <w:highlight w:val="none"/>
        </w:rPr>
      </w:pPr>
    </w:p>
    <w:p>
      <w:pPr>
        <w:shd w:val="clear"/>
        <w:spacing w:line="440" w:lineRule="exact"/>
        <w:ind w:left="420"/>
        <w:rPr>
          <w:rFonts w:ascii="宋体" w:hAnsi="宋体" w:cs="宋体"/>
          <w:sz w:val="24"/>
          <w:highlight w:val="none"/>
        </w:rPr>
      </w:pPr>
    </w:p>
    <w:p>
      <w:pPr>
        <w:numPr>
          <w:ilvl w:val="0"/>
          <w:numId w:val="4"/>
        </w:numPr>
        <w:shd w:val="clear"/>
        <w:spacing w:line="440" w:lineRule="exact"/>
        <w:ind w:left="1293" w:hanging="1293"/>
        <w:jc w:val="center"/>
        <w:outlineLvl w:val="0"/>
        <w:rPr>
          <w:rFonts w:ascii="宋体" w:hAnsi="宋体" w:cs="宋体"/>
          <w:b/>
          <w:bCs/>
          <w:sz w:val="36"/>
          <w:szCs w:val="36"/>
          <w:highlight w:val="none"/>
        </w:rPr>
      </w:pPr>
      <w:r>
        <w:rPr>
          <w:rFonts w:hint="eastAsia" w:ascii="宋体" w:hAnsi="宋体" w:cs="宋体"/>
          <w:b/>
          <w:bCs/>
          <w:sz w:val="36"/>
          <w:szCs w:val="36"/>
          <w:highlight w:val="none"/>
        </w:rPr>
        <w:t xml:space="preserve"> 项目工程量清单</w:t>
      </w:r>
    </w:p>
    <w:p>
      <w:pPr>
        <w:shd w:val="clear"/>
        <w:spacing w:line="440" w:lineRule="exact"/>
        <w:rPr>
          <w:rFonts w:ascii="宋体" w:hAnsi="宋体" w:cs="宋体"/>
          <w:sz w:val="36"/>
          <w:szCs w:val="36"/>
          <w:highlight w:val="none"/>
        </w:rPr>
      </w:pPr>
    </w:p>
    <w:p>
      <w:pPr>
        <w:shd w:val="clear"/>
        <w:adjustRightInd w:val="0"/>
        <w:snapToGrid w:val="0"/>
        <w:spacing w:line="440" w:lineRule="exact"/>
        <w:rPr>
          <w:rFonts w:hint="eastAsia" w:ascii="宋体" w:hAnsi="宋体" w:eastAsia="宋体" w:cs="宋体"/>
          <w:color w:val="FF0000"/>
          <w:sz w:val="28"/>
          <w:szCs w:val="28"/>
          <w:highlight w:val="none"/>
          <w:lang w:val="en-US" w:eastAsia="zh-CN"/>
        </w:rPr>
      </w:pPr>
    </w:p>
    <w:tbl>
      <w:tblPr>
        <w:tblStyle w:val="37"/>
        <w:tblW w:w="9978" w:type="dxa"/>
        <w:tblInd w:w="0" w:type="dxa"/>
        <w:tblLayout w:type="fixed"/>
        <w:tblCellMar>
          <w:top w:w="0" w:type="dxa"/>
          <w:left w:w="0" w:type="dxa"/>
          <w:bottom w:w="0" w:type="dxa"/>
          <w:right w:w="0" w:type="dxa"/>
        </w:tblCellMar>
      </w:tblPr>
      <w:tblGrid>
        <w:gridCol w:w="4157"/>
        <w:gridCol w:w="1550"/>
        <w:gridCol w:w="4271"/>
      </w:tblGrid>
      <w:tr>
        <w:tblPrEx>
          <w:tblCellMar>
            <w:top w:w="0" w:type="dxa"/>
            <w:left w:w="0" w:type="dxa"/>
            <w:bottom w:w="0" w:type="dxa"/>
            <w:right w:w="0" w:type="dxa"/>
          </w:tblCellMar>
        </w:tblPrEx>
        <w:trPr>
          <w:trHeight w:val="465" w:hRule="atLeast"/>
        </w:trPr>
        <w:tc>
          <w:tcPr>
            <w:tcW w:w="9978" w:type="dxa"/>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shd w:val="clear"/>
              <w:jc w:val="center"/>
              <w:textAlignment w:val="bottom"/>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2"/>
                <w:szCs w:val="32"/>
                <w:highlight w:val="none"/>
                <w:u w:val="none"/>
                <w:lang w:val="en-US" w:eastAsia="zh-CN" w:bidi="ar"/>
              </w:rPr>
              <w:t>石城县屏山镇琉璃坑矿区年产300万吨砂石骨料（建筑用砂岩矿）项目</w:t>
            </w:r>
          </w:p>
        </w:tc>
      </w:tr>
      <w:tr>
        <w:tblPrEx>
          <w:tblCellMar>
            <w:top w:w="0" w:type="dxa"/>
            <w:left w:w="0" w:type="dxa"/>
            <w:bottom w:w="0" w:type="dxa"/>
            <w:right w:w="0" w:type="dxa"/>
          </w:tblCellMar>
        </w:tblPrEx>
        <w:trPr>
          <w:trHeight w:val="405" w:hRule="atLeast"/>
        </w:trPr>
        <w:tc>
          <w:tcPr>
            <w:tcW w:w="9978" w:type="dxa"/>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shd w:val="clear"/>
              <w:jc w:val="center"/>
              <w:textAlignment w:val="bottom"/>
              <w:rPr>
                <w:rFonts w:hint="default" w:ascii="宋体" w:hAnsi="宋体" w:eastAsia="宋体" w:cs="宋体"/>
                <w:b/>
                <w:i w:val="0"/>
                <w:color w:val="auto"/>
                <w:sz w:val="32"/>
                <w:szCs w:val="32"/>
                <w:highlight w:val="none"/>
                <w:u w:val="none"/>
                <w:lang w:val="en-US" w:eastAsia="zh-CN"/>
              </w:rPr>
            </w:pPr>
            <w:r>
              <w:rPr>
                <w:rFonts w:hint="eastAsia" w:ascii="宋体" w:hAnsi="宋体" w:eastAsia="宋体" w:cs="宋体"/>
                <w:b/>
                <w:i w:val="0"/>
                <w:color w:val="auto"/>
                <w:sz w:val="32"/>
                <w:szCs w:val="32"/>
                <w:highlight w:val="none"/>
                <w:u w:val="none"/>
              </w:rPr>
              <w:t>机电设备安装工程</w:t>
            </w:r>
            <w:r>
              <w:rPr>
                <w:rFonts w:hint="eastAsia" w:ascii="宋体" w:hAnsi="宋体" w:eastAsia="宋体" w:cs="宋体"/>
                <w:b/>
                <w:i w:val="0"/>
                <w:color w:val="auto"/>
                <w:sz w:val="32"/>
                <w:szCs w:val="32"/>
                <w:highlight w:val="none"/>
                <w:u w:val="none"/>
                <w:lang w:val="en-US" w:eastAsia="zh-CN"/>
              </w:rPr>
              <w:t>投标金额汇总表</w:t>
            </w:r>
          </w:p>
        </w:tc>
      </w:tr>
      <w:tr>
        <w:tblPrEx>
          <w:tblCellMar>
            <w:top w:w="0" w:type="dxa"/>
            <w:left w:w="0" w:type="dxa"/>
            <w:bottom w:w="0" w:type="dxa"/>
            <w:right w:w="0" w:type="dxa"/>
          </w:tblCellMar>
        </w:tblPrEx>
        <w:trPr>
          <w:trHeight w:val="285" w:hRule="atLeast"/>
        </w:trPr>
        <w:tc>
          <w:tcPr>
            <w:tcW w:w="4157"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p>
        </w:tc>
        <w:tc>
          <w:tcPr>
            <w:tcW w:w="1550" w:type="dxa"/>
            <w:tcBorders>
              <w:top w:val="nil"/>
              <w:left w:val="nil"/>
              <w:bottom w:val="nil"/>
              <w:right w:val="nil"/>
            </w:tcBorders>
            <w:noWrap/>
            <w:tcMar>
              <w:top w:w="15" w:type="dxa"/>
              <w:left w:w="15" w:type="dxa"/>
              <w:right w:w="15" w:type="dxa"/>
            </w:tcMar>
            <w:vAlign w:val="center"/>
          </w:tcPr>
          <w:p>
            <w:pPr>
              <w:shd w:val="clear"/>
              <w:rPr>
                <w:rFonts w:hint="eastAsia" w:ascii="宋体" w:hAnsi="宋体" w:eastAsia="宋体" w:cs="宋体"/>
                <w:i w:val="0"/>
                <w:color w:val="auto"/>
                <w:sz w:val="24"/>
                <w:szCs w:val="24"/>
                <w:highlight w:val="none"/>
                <w:u w:val="none"/>
              </w:rPr>
            </w:pPr>
          </w:p>
        </w:tc>
        <w:tc>
          <w:tcPr>
            <w:tcW w:w="427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p>
        </w:tc>
      </w:tr>
      <w:tr>
        <w:tblPrEx>
          <w:tblCellMar>
            <w:top w:w="0" w:type="dxa"/>
            <w:left w:w="0" w:type="dxa"/>
            <w:bottom w:w="0" w:type="dxa"/>
            <w:right w:w="0" w:type="dxa"/>
          </w:tblCellMar>
        </w:tblPrEx>
        <w:trPr>
          <w:trHeight w:val="752" w:hRule="atLeast"/>
        </w:trPr>
        <w:tc>
          <w:tcPr>
            <w:tcW w:w="4157"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   目</w:t>
            </w:r>
          </w:p>
        </w:tc>
        <w:tc>
          <w:tcPr>
            <w:tcW w:w="1550" w:type="dxa"/>
            <w:tcBorders>
              <w:top w:val="single" w:color="auto" w:sz="4" w:space="0"/>
              <w:left w:val="nil"/>
              <w:bottom w:val="single" w:color="auto" w:sz="4" w:space="0"/>
              <w:right w:val="nil"/>
            </w:tcBorders>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单 位</w:t>
            </w:r>
          </w:p>
        </w:tc>
        <w:tc>
          <w:tcPr>
            <w:tcW w:w="427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投标金额</w:t>
            </w:r>
          </w:p>
        </w:tc>
      </w:tr>
      <w:tr>
        <w:tblPrEx>
          <w:tblCellMar>
            <w:top w:w="0" w:type="dxa"/>
            <w:left w:w="0" w:type="dxa"/>
            <w:bottom w:w="0" w:type="dxa"/>
            <w:right w:w="0" w:type="dxa"/>
          </w:tblCellMar>
        </w:tblPrEx>
        <w:trPr>
          <w:trHeight w:val="732" w:hRule="atLeast"/>
        </w:trPr>
        <w:tc>
          <w:tcPr>
            <w:tcW w:w="4157"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设备及定额外材料</w:t>
            </w:r>
          </w:p>
        </w:tc>
        <w:tc>
          <w:tcPr>
            <w:tcW w:w="1550" w:type="dxa"/>
            <w:tcBorders>
              <w:top w:val="nil"/>
              <w:left w:val="nil"/>
              <w:bottom w:val="single" w:color="auto" w:sz="4" w:space="0"/>
              <w:right w:val="nil"/>
            </w:tcBorders>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元</w:t>
            </w:r>
          </w:p>
        </w:tc>
        <w:tc>
          <w:tcPr>
            <w:tcW w:w="4271"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p>
        </w:tc>
      </w:tr>
      <w:tr>
        <w:tblPrEx>
          <w:tblCellMar>
            <w:top w:w="0" w:type="dxa"/>
            <w:left w:w="0" w:type="dxa"/>
            <w:bottom w:w="0" w:type="dxa"/>
            <w:right w:w="0" w:type="dxa"/>
          </w:tblCellMar>
        </w:tblPrEx>
        <w:trPr>
          <w:trHeight w:val="747" w:hRule="atLeast"/>
        </w:trPr>
        <w:tc>
          <w:tcPr>
            <w:tcW w:w="4157"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安装工程</w:t>
            </w:r>
          </w:p>
        </w:tc>
        <w:tc>
          <w:tcPr>
            <w:tcW w:w="1550" w:type="dxa"/>
            <w:tcBorders>
              <w:top w:val="nil"/>
              <w:left w:val="nil"/>
              <w:bottom w:val="single" w:color="auto" w:sz="4" w:space="0"/>
              <w:right w:val="nil"/>
            </w:tcBorders>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元</w:t>
            </w:r>
          </w:p>
        </w:tc>
        <w:tc>
          <w:tcPr>
            <w:tcW w:w="4271"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p>
        </w:tc>
      </w:tr>
      <w:tr>
        <w:tblPrEx>
          <w:tblCellMar>
            <w:top w:w="0" w:type="dxa"/>
            <w:left w:w="0" w:type="dxa"/>
            <w:bottom w:w="0" w:type="dxa"/>
            <w:right w:w="0" w:type="dxa"/>
          </w:tblCellMar>
        </w:tblPrEx>
        <w:trPr>
          <w:trHeight w:val="802" w:hRule="atLeast"/>
        </w:trPr>
        <w:tc>
          <w:tcPr>
            <w:tcW w:w="4157"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合计</w:t>
            </w:r>
          </w:p>
        </w:tc>
        <w:tc>
          <w:tcPr>
            <w:tcW w:w="1550" w:type="dxa"/>
            <w:tcBorders>
              <w:top w:val="nil"/>
              <w:left w:val="nil"/>
              <w:bottom w:val="single" w:color="auto" w:sz="4" w:space="0"/>
              <w:right w:val="nil"/>
            </w:tcBorders>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元</w:t>
            </w:r>
          </w:p>
        </w:tc>
        <w:tc>
          <w:tcPr>
            <w:tcW w:w="4271" w:type="dxa"/>
            <w:tcBorders>
              <w:top w:val="nil"/>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p>
        </w:tc>
      </w:tr>
    </w:tbl>
    <w:p>
      <w:pPr>
        <w:shd w:val="clear"/>
        <w:adjustRightInd w:val="0"/>
        <w:snapToGrid w:val="0"/>
        <w:spacing w:line="440" w:lineRule="exact"/>
        <w:rPr>
          <w:rFonts w:hint="eastAsia" w:ascii="宋体" w:hAnsi="宋体" w:eastAsia="宋体" w:cs="宋体"/>
          <w:color w:val="FF0000"/>
          <w:sz w:val="28"/>
          <w:szCs w:val="28"/>
          <w:highlight w:val="none"/>
          <w:lang w:val="en-US" w:eastAsia="zh-CN"/>
        </w:rPr>
        <w:sectPr>
          <w:headerReference r:id="rId12" w:type="default"/>
          <w:pgSz w:w="11907" w:h="16840"/>
          <w:pgMar w:top="1361" w:right="1134" w:bottom="1361" w:left="1134" w:header="720" w:footer="720" w:gutter="0"/>
          <w:cols w:space="720" w:num="1"/>
          <w:docGrid w:linePitch="285" w:charSpace="0"/>
        </w:sectPr>
      </w:pPr>
    </w:p>
    <w:tbl>
      <w:tblPr>
        <w:tblStyle w:val="37"/>
        <w:tblW w:w="15217" w:type="dxa"/>
        <w:tblInd w:w="0" w:type="dxa"/>
        <w:tblLayout w:type="autofit"/>
        <w:tblCellMar>
          <w:top w:w="0" w:type="dxa"/>
          <w:left w:w="0" w:type="dxa"/>
          <w:bottom w:w="0" w:type="dxa"/>
          <w:right w:w="0" w:type="dxa"/>
        </w:tblCellMar>
      </w:tblPr>
      <w:tblGrid>
        <w:gridCol w:w="417"/>
        <w:gridCol w:w="4363"/>
        <w:gridCol w:w="4336"/>
        <w:gridCol w:w="562"/>
        <w:gridCol w:w="829"/>
        <w:gridCol w:w="1095"/>
        <w:gridCol w:w="1095"/>
        <w:gridCol w:w="1095"/>
        <w:gridCol w:w="1425"/>
      </w:tblGrid>
      <w:tr>
        <w:tblPrEx>
          <w:tblCellMar>
            <w:top w:w="0" w:type="dxa"/>
            <w:left w:w="0" w:type="dxa"/>
            <w:bottom w:w="0" w:type="dxa"/>
            <w:right w:w="0" w:type="dxa"/>
          </w:tblCellMar>
        </w:tblPrEx>
        <w:trPr>
          <w:trHeight w:val="408" w:hRule="atLeast"/>
        </w:trPr>
        <w:tc>
          <w:tcPr>
            <w:tcW w:w="13792" w:type="dxa"/>
            <w:gridSpan w:val="8"/>
            <w:tcBorders>
              <w:top w:val="nil"/>
              <w:left w:val="nil"/>
              <w:bottom w:val="single" w:color="000000" w:sz="4" w:space="0"/>
              <w:right w:val="nil"/>
            </w:tcBorders>
            <w:noWrap/>
            <w:tcMar>
              <w:top w:w="12" w:type="dxa"/>
              <w:left w:w="12" w:type="dxa"/>
              <w:right w:w="12" w:type="dxa"/>
            </w:tcMar>
            <w:vAlign w:val="bottom"/>
          </w:tcPr>
          <w:p>
            <w:pPr>
              <w:keepNext w:val="0"/>
              <w:keepLines w:val="0"/>
              <w:widowControl/>
              <w:suppressLineNumbers w:val="0"/>
              <w:shd w:val="clear"/>
              <w:jc w:val="center"/>
              <w:textAlignment w:val="bottom"/>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2"/>
                <w:szCs w:val="32"/>
                <w:highlight w:val="none"/>
                <w:u w:val="none"/>
                <w:lang w:val="en-US" w:eastAsia="zh-CN" w:bidi="ar"/>
              </w:rPr>
              <w:t>工程量</w:t>
            </w:r>
            <w:r>
              <w:rPr>
                <w:rFonts w:hint="eastAsia" w:ascii="宋体" w:hAnsi="宋体" w:cs="宋体"/>
                <w:b/>
                <w:i w:val="0"/>
                <w:color w:val="auto"/>
                <w:kern w:val="0"/>
                <w:sz w:val="32"/>
                <w:szCs w:val="32"/>
                <w:highlight w:val="none"/>
                <w:u w:val="none"/>
                <w:lang w:val="en-US" w:eastAsia="zh-CN" w:bidi="ar"/>
              </w:rPr>
              <w:t>清单</w:t>
            </w:r>
            <w:r>
              <w:rPr>
                <w:rFonts w:hint="eastAsia" w:ascii="宋体" w:hAnsi="宋体" w:eastAsia="宋体" w:cs="宋体"/>
                <w:b/>
                <w:i w:val="0"/>
                <w:color w:val="auto"/>
                <w:kern w:val="0"/>
                <w:sz w:val="32"/>
                <w:szCs w:val="32"/>
                <w:highlight w:val="none"/>
                <w:u w:val="none"/>
                <w:lang w:val="en-US" w:eastAsia="zh-CN" w:bidi="ar"/>
              </w:rPr>
              <w:t>及综合单价投标报价表</w:t>
            </w:r>
          </w:p>
        </w:tc>
        <w:tc>
          <w:tcPr>
            <w:tcW w:w="1425" w:type="dxa"/>
            <w:tcBorders>
              <w:top w:val="nil"/>
              <w:left w:val="nil"/>
              <w:bottom w:val="nil"/>
              <w:right w:val="nil"/>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单位：元</w:t>
            </w:r>
          </w:p>
        </w:tc>
      </w:tr>
      <w:tr>
        <w:tblPrEx>
          <w:tblCellMar>
            <w:top w:w="0" w:type="dxa"/>
            <w:left w:w="0" w:type="dxa"/>
            <w:bottom w:w="0" w:type="dxa"/>
            <w:right w:w="0" w:type="dxa"/>
          </w:tblCellMar>
        </w:tblPrEx>
        <w:trPr>
          <w:trHeight w:val="390" w:hRule="atLeast"/>
        </w:trPr>
        <w:tc>
          <w:tcPr>
            <w:tcW w:w="42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型号及规格</w:t>
            </w:r>
          </w:p>
        </w:tc>
        <w:tc>
          <w:tcPr>
            <w:tcW w:w="437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特征描述</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工程量</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综合单价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r>
              <w:rPr>
                <w:rFonts w:hint="eastAsia" w:ascii="宋体" w:hAnsi="宋体" w:eastAsia="宋体" w:cs="宋体"/>
                <w:i w:val="0"/>
                <w:color w:val="auto"/>
                <w:kern w:val="0"/>
                <w:sz w:val="22"/>
                <w:szCs w:val="22"/>
                <w:highlight w:val="none"/>
                <w:u w:val="none"/>
                <w:lang w:val="en-US" w:eastAsia="zh-CN" w:bidi="ar"/>
              </w:rPr>
              <w:br w:type="textWrapping"/>
            </w:r>
            <w:r>
              <w:rPr>
                <w:rFonts w:hint="eastAsia" w:ascii="宋体" w:hAnsi="宋体" w:eastAsia="宋体" w:cs="宋体"/>
                <w:i w:val="0"/>
                <w:color w:val="auto"/>
                <w:kern w:val="0"/>
                <w:sz w:val="22"/>
                <w:szCs w:val="22"/>
                <w:highlight w:val="none"/>
                <w:u w:val="none"/>
                <w:lang w:val="en-US" w:eastAsia="zh-CN" w:bidi="ar"/>
              </w:rPr>
              <w:t>(工程量×单价和)</w:t>
            </w:r>
          </w:p>
        </w:tc>
      </w:tr>
      <w:tr>
        <w:tblPrEx>
          <w:tblCellMar>
            <w:top w:w="0" w:type="dxa"/>
            <w:left w:w="0" w:type="dxa"/>
            <w:bottom w:w="0" w:type="dxa"/>
            <w:right w:w="0" w:type="dxa"/>
          </w:tblCellMar>
        </w:tblPrEx>
        <w:trPr>
          <w:trHeight w:val="420" w:hRule="atLeast"/>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437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材料采购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shd w:val="clear"/>
                <w:lang w:val="en-US" w:eastAsia="zh-CN" w:bidi="ar"/>
              </w:rPr>
              <w:t>安装单价</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砂石加工系统</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left"/>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预埋件制作与施工</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总计64.34t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粗碎车间预埋件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1.44</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半成品车间预埋件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1.12</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中细碎车间预埋件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1.08</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1#筛分车间预埋件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2#筛分车间预埋件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3#筛分车间预埋件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0.36</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除泥车间预埋件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0.72</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制砂料仓预埋件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1.12</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制砂车间预埋件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整形车间预埋件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细砂回收车间预埋件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0.87</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成品料仓预埋件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11.46</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38.47</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地磅预埋件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铁件制作、除锈；钢板划线、切割；钢筋调直、下料、弯曲；安装焊接、固定；</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0.1</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棒条给料机（甲供）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棒条给料机 HPF1860  1台，安装、单机调试、联动调试、负载调试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11.5</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颚式破碎机（甲供）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颚式破碎机 JC1600   1台，安装、单机调试、联动调试、负载调试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圆锥破碎机（甲供）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圆锥破碎机 CC400S-EC 1台，安装、单机调试、联动调试、负载调试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圆锥破碎机（甲供）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圆锥破碎机 CC400M   2台，安装、单机调试、联动调试、负载调试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立轴破（甲供）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立轴破     VS1500R  2台，安装、单机调试、联动调试、负载调试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棒磨机（甲供）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default"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棒磨机     JPS500   1台，含钢棒（甲供），安装、单机调试、联动调试、负载调试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   2YA2460  1台，安装、单机调试、联动调试、负载调试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   3YA3675  2台，安装、单机调试、联动调试、负载调试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   3YA3075  2台，安装、单机调试、联动调试、负载调试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    YA2460  1台，安装、单机调试、联动调试、负载调试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直线脱水筛（甲供）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直线脱水筛 USL2460  3台，安装、单机调试、联动调试、负载调试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直线脱水筛（甲供）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直线脱水筛 USL3060  2台，安装、单机调试、联动调试、负载调试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振动给料机（甲供）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振动给料机 GZG1253  9台，安装、单机调试、联动调试、负载调试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13.5</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振动给料机（甲供）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振动给料机 GZG1504  22台，安装、单机调试、联动调试、负载调试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洗砂机（甲供）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洗砂机     RXL-914  1台，安装、单机调试、联动调试、负载调试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洗砂机（甲供）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洗砂机     RXL-1118 2台，安装、单机调试、联动调试、负载调试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洗砂机（甲供）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洗砂机     2RXL-1118 2台，安装、单机调试、联动调试、负载调试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细沙回收机（甲供）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细沙回收机TS-1836 2台，安装、单机调试、联动调试、负载调试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除铁器 （甲供）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除铁器 1台（包干单价），安装、单机调试、联动调试、负载调试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金属探测仪（甲供）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金属探测仪 1台（包干单价），安装、单机调试、联动调试、负载调试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27条皮带机总重381.54t，</w:t>
            </w:r>
            <w:r>
              <w:rPr>
                <w:rFonts w:hint="eastAsia" w:ascii="宋体" w:hAnsi="宋体" w:eastAsia="宋体" w:cs="宋体"/>
                <w:b w:val="0"/>
                <w:bCs w:val="0"/>
                <w:i w:val="0"/>
                <w:color w:val="auto"/>
                <w:kern w:val="0"/>
                <w:sz w:val="22"/>
                <w:szCs w:val="22"/>
                <w:highlight w:val="none"/>
                <w:u w:val="none"/>
                <w:lang w:val="en-US" w:eastAsia="zh-CN" w:bidi="ar"/>
              </w:rPr>
              <w:t>电气保护设置拉绳开关、跑偏开关等，安装、单机调试、联动调试、负载调试。</w:t>
            </w:r>
            <w:r>
              <w:rPr>
                <w:rFonts w:hint="eastAsia" w:ascii="宋体" w:hAnsi="宋体" w:eastAsia="宋体" w:cs="宋体"/>
                <w:b/>
                <w:bCs/>
                <w:i w:val="0"/>
                <w:color w:val="auto"/>
                <w:kern w:val="0"/>
                <w:sz w:val="22"/>
                <w:szCs w:val="22"/>
                <w:highlight w:val="none"/>
                <w:u w:val="none"/>
                <w:lang w:val="en-US" w:eastAsia="zh-CN" w:bidi="ar"/>
              </w:rPr>
              <w:t>注：皮带机安装均含</w:t>
            </w:r>
            <w:r>
              <w:rPr>
                <w:rFonts w:hint="eastAsia" w:ascii="宋体" w:hAnsi="宋体" w:cs="宋体"/>
                <w:b/>
                <w:bCs/>
                <w:color w:val="auto"/>
                <w:sz w:val="24"/>
                <w:highlight w:val="none"/>
              </w:rPr>
              <w:t>橡胶带和硫化接头安装</w:t>
            </w:r>
            <w:r>
              <w:rPr>
                <w:rFonts w:hint="eastAsia" w:ascii="宋体" w:hAnsi="宋体" w:cs="宋体"/>
                <w:b/>
                <w:bCs/>
                <w:color w:val="auto"/>
                <w:sz w:val="24"/>
                <w:highlight w:val="none"/>
                <w:lang w:eastAsia="zh-CN"/>
              </w:rPr>
              <w:t>，</w:t>
            </w:r>
            <w:r>
              <w:rPr>
                <w:rFonts w:hint="eastAsia" w:ascii="宋体" w:hAnsi="宋体" w:cs="宋体"/>
                <w:b/>
                <w:color w:val="auto"/>
                <w:sz w:val="24"/>
                <w:highlight w:val="none"/>
              </w:rPr>
              <w:t>橡胶输送带甲供</w:t>
            </w:r>
            <w:r>
              <w:rPr>
                <w:rFonts w:hint="eastAsia" w:ascii="宋体" w:hAnsi="宋体" w:cs="宋体"/>
                <w:b/>
                <w:bCs/>
                <w:color w:val="auto"/>
                <w:sz w:val="24"/>
                <w:highlight w:val="none"/>
                <w:lang w:eastAsia="zh-CN"/>
              </w:rPr>
              <w: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16°L=17.28 22KW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7.48</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16°L=75.57 90KW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24.25</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p3</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B800 v=1.6m/s 12.81°L=31.87 15KW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8.14</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p4</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11.36°L=77.66 75KW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24.14</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p5</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B1400 v=2.5m/s 14.65°L=73.13 110KW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30.18</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p6</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6.07°L=14.17 11KW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5.75</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p7</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0°L=15.19 5.5KW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5.69</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p8</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0°L=14.92 11KW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7.53</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p9</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5.36°L=51.4 22KW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10.97</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p10</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13.84°L=60.43 75KW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p11</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15.55°L=50.73 55KW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14.3</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p12</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14.78°L=66.1 55KW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19.94</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p13</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B800 v=1.6m/s 15.65°L=29.35 11KW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5.87</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p14</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B650 v=1.6m/s 0°L=10.64 5.5KW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p15</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B800 v=1.6m/s 17.08°L=26.5 15KW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6.27</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p16</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B800 v=1.6m/s 5.75°L=54.31 22KW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8.01</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p17</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B800 v=1.6m/s 9.27°L=68.28 30KW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9.14</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p18</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B650 v=1.6m/s 8.21°L=77.06 15KW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8.21</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p19</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B650 v=1.6m/s 5.26°L=98.21 22KW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8.91</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p20</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12.25°L=66.71 37KW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13.53</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p21</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16.11°L=60.52 45KW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13.27</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p22</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8.22°L=25.97 15KW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9.71</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p23</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8.31°L=98.89 55KW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19.61</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p24</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0°L=35 11KW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7.56</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p25</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B1400 v=1.6m/s 12.43°L=196.42 110KW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54.13</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p26</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B1400 v=1.6m/s 13.38°L=38.88 55KW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16.39</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p27</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B1400 v=1.6m/s 0°L=45.46 30KW 1条，安装、单机调试、联动调试、负载调试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19.2</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电动机安装</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≤0.5t（包干单价），安装、单机调试、联动调试、负载调试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电动机安装</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0.5t＜，且≤1t（包干单价），安装、单机调试、联动调试、负载调试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减速机安装</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&lt;850mm &lt;1.5t（包干单价），安装、单机调试、联动调试、负载调试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一般溜槽、接料斗</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left"/>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（非标）制作安装，所有钢材报价均包含防腐、除锈费用，含主要材料、辅助材料、废品率2%，下同</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普通钢板</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Q235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锰钢</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left"/>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Q345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桁架及支架制作安装</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left"/>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（非标）制作安装，所有钢材报价均包含防腐、除锈费用，含主要材料、辅助材料、废品率2%，下同</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角钢</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left"/>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Q235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槽钢</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left"/>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Q235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工字钢</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left"/>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Q235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圆管（不得采用螺旋焊接管）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left"/>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Q235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270</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花纹钢板</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left"/>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rPr>
              <w:t>Q235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彩钢瓦</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厚度0.8mm,钢桁架封闭</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5840</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透明彩钢瓦</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厚度0.8mm,钢桁架封闭</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570</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电动葫芦 20t</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起重量20t（包干单价），安装、单机调试、联动调试、负载调试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电动葫芦 10t</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起重量10t（包干单价），安装、单机调试、联动调试、负载调试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成品装车气动弧门 1000*1000</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1000*1000 重1t，16台，安装、单机调试、联动调试、负载调试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地磅 100t</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（包干单价），安装、单机调试、联动调试、负载调试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9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砂石加工系统小计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生产控制系统、售料系统</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24"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主控制柜</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PLC1.0主控制柜 600×1000×2200mm(含CPU、按钮、指示灯、电源交换机等)（包干单价）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3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远程IO柜</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PLC1.1远程IO柜 600×1000×2200mm(含ET200子站、输入输出模块、断路器、电源等)（包干单价）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控制操作台</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控制操作台     600×1000×800mm（包干单价）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24"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计算机硬件及系统</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计算机控制系统(含主机、显示器、键鼠、操作系统等)（包干单价）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不间断电源</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UPS   C10KS（包干单价）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上位机软件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上位机软件  WinCC7.3开发版（包干单价）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编程软件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编程软件    TIA V15.0（包干单价）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通讯电缆</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现场总线 设备信号回传反馈</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2041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控制电缆</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KVV-0.45/0.75-14×1.5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3945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控制电缆</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KVV-0.45/0.75-10×1.5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5787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控制电缆</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KVV-0.45/0.75-8×1.5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6034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低压电缆</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RVV-0.45/0.75-2×1.5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3412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屏蔽信号电缆</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KVVRP-0.45/0.75-2×1.0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3664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光纤</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光纤        4芯</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雷科料位计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雷达测装料仓位（包干单价）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生产控制设置</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编程、调试、成套（包干单价）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24"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开票\制卡机</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桌面发卡器、IC卡打印机、客户端PC（包干单价）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24"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自主业务一体机</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自助制卡、合格证质保单打印提货、纸质凭证打印（包干单价）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24"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骨料装车控制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自助放料控制箱、车牌识别、视频抓拍录像、车头车尾及车厢顶部视频显示（包干单价）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36"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过磅计量通行控制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读卡器、道闸、车牌识别、视频抓拍录像、红绿信号灯、自动计量（自动统计骨料种类、重量）（包干单价）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出厂收卡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收卡器、小票打印（包干单价）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侧门进出厂门禁</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道闸、车牌识别、视频抓拍录像（包干单价）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24"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网络通信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服务器、交换机、光纤、网线、网络机柜等（包干单价）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控制软件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自动售料，数据统计，数据分析（包干单价）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售料系统</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售料系统 调试、成套（包干单价）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生产控制系统、售料系统小计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除尘系统</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left"/>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43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布袋除尘器   PPW64-6 （甲供）</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处理风量23040m3/h、过滤面积384m2、风机功率37kW、2台，安装、单机调试、联动调试、负载调试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75"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4317"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布袋除尘器   PPW96-6（甲供）</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处理风量34560m3/h、过滤面积576m2、风机功率55kW、2台，安装、单机调试、联动调试、负载调试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高压喷雾主机（甲供）</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10台（甲供），安装、单机调试、联动调试、负载调试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空压机</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LG-22/7   110kW（甲供）（包干单价），安装、单机调试、联动调试、负载调试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储气罐</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容量3m³（包干单价），安装、单机调试、联动调试、负载调试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0" w:hRule="atLeast"/>
        </w:trPr>
        <w:tc>
          <w:tcPr>
            <w:tcW w:w="42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非标件支架、管路</w:t>
            </w:r>
          </w:p>
        </w:tc>
        <w:tc>
          <w:tcPr>
            <w:tcW w:w="4374" w:type="dxa"/>
            <w:tcBorders>
              <w:top w:val="single" w:color="000000" w:sz="4" w:space="0"/>
              <w:left w:val="single" w:color="000000" w:sz="4" w:space="0"/>
              <w:bottom w:val="single" w:color="000000" w:sz="4" w:space="0"/>
              <w:right w:val="single" w:color="000000" w:sz="4" w:space="0"/>
            </w:tcBorders>
            <w:shd w:val="clear" w:color="auto" w:fill="auto"/>
            <w:noWrap w:val="0"/>
            <w:tcMar>
              <w:top w:w="12" w:type="dxa"/>
              <w:left w:w="12" w:type="dxa"/>
              <w:right w:w="12" w:type="dxa"/>
            </w:tcMar>
            <w:vAlign w:val="center"/>
          </w:tcPr>
          <w:p>
            <w:pPr>
              <w:keepNext w:val="0"/>
              <w:keepLines w:val="0"/>
              <w:widowControl/>
              <w:suppressLineNumbers w:val="0"/>
              <w:shd w:val="clear"/>
              <w:jc w:val="left"/>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非标支架制作、安装；管材及安装；喷头(甲供)安装，含主要材料、除锈、加工制作、辅助材料、废品率2%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除尘风管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非标金属风管制作、安装，主要材料、除锈、加工制作、辅助材料、废品率2%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除尘系统小计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配电系统</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left"/>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受电柜(进线)</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GGD-0.4  800×2200×800（包干单价）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电容补偿柜</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GGD-0.4  1000×2200×800（包干单价）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开关柜</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GGD-0.4  800×2200×800（包干单价）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现场控制箱</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现场控制箱（包干单价），控制皮带机27条、振动筛6台、脱水筛5台、洗砂机5台、破碎设备7台、细沙回收机2台、电铃控制5台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给料机动力箱</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配电及控制31台给料机（包干单价）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封闭母线槽   </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MC-T/4500A/4-F</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电力电缆敷设</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YJV22-12/20kV-3×35</w:t>
            </w:r>
            <w:r>
              <w:rPr>
                <w:rFonts w:hint="eastAsia" w:ascii="宋体" w:hAnsi="宋体" w:cs="宋体"/>
                <w:i w:val="0"/>
                <w:color w:val="auto"/>
                <w:kern w:val="0"/>
                <w:sz w:val="24"/>
                <w:szCs w:val="24"/>
                <w:highlight w:val="none"/>
                <w:u w:val="none"/>
                <w:lang w:val="en-US" w:eastAsia="zh-CN" w:bidi="ar"/>
              </w:rPr>
              <w:t>敷设(电缆甲供)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低压电缆敷设</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YJV-0.6/1-3×240+2×120</w:t>
            </w:r>
            <w:r>
              <w:rPr>
                <w:rFonts w:hint="eastAsia" w:ascii="宋体" w:hAnsi="宋体" w:cs="宋体"/>
                <w:i w:val="0"/>
                <w:color w:val="auto"/>
                <w:kern w:val="0"/>
                <w:sz w:val="24"/>
                <w:szCs w:val="24"/>
                <w:highlight w:val="none"/>
                <w:u w:val="none"/>
                <w:lang w:val="en-US" w:eastAsia="zh-CN" w:bidi="ar"/>
              </w:rPr>
              <w:t>敷设(电缆甲供)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低压电缆敷设</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YJV-0.6/1-3×185+2×95</w:t>
            </w:r>
            <w:r>
              <w:rPr>
                <w:rFonts w:hint="eastAsia" w:ascii="宋体" w:hAnsi="宋体" w:cs="宋体"/>
                <w:i w:val="0"/>
                <w:color w:val="auto"/>
                <w:kern w:val="0"/>
                <w:sz w:val="24"/>
                <w:szCs w:val="24"/>
                <w:highlight w:val="none"/>
                <w:u w:val="none"/>
                <w:lang w:val="en-US" w:eastAsia="zh-CN" w:bidi="ar"/>
              </w:rPr>
              <w:t>敷设(电缆甲供)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低压电缆敷设</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YJV-0.6/1-3×150+2×70</w:t>
            </w:r>
            <w:r>
              <w:rPr>
                <w:rFonts w:hint="eastAsia" w:ascii="宋体" w:hAnsi="宋体" w:cs="宋体"/>
                <w:i w:val="0"/>
                <w:color w:val="auto"/>
                <w:kern w:val="0"/>
                <w:sz w:val="24"/>
                <w:szCs w:val="24"/>
                <w:highlight w:val="none"/>
                <w:u w:val="none"/>
                <w:lang w:val="en-US" w:eastAsia="zh-CN" w:bidi="ar"/>
              </w:rPr>
              <w:t>敷设(电缆甲供)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低压电缆敷设</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YJV-0.6/1-3×95+2×50</w:t>
            </w:r>
            <w:r>
              <w:rPr>
                <w:rFonts w:hint="eastAsia" w:ascii="宋体" w:hAnsi="宋体" w:cs="宋体"/>
                <w:i w:val="0"/>
                <w:color w:val="auto"/>
                <w:kern w:val="0"/>
                <w:sz w:val="24"/>
                <w:szCs w:val="24"/>
                <w:highlight w:val="none"/>
                <w:u w:val="none"/>
                <w:lang w:val="en-US" w:eastAsia="zh-CN" w:bidi="ar"/>
              </w:rPr>
              <w:t>敷设(电缆甲供)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低压电缆敷设</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YJV-0.6/1-3×70+2×35</w:t>
            </w:r>
            <w:r>
              <w:rPr>
                <w:rFonts w:hint="eastAsia" w:ascii="宋体" w:hAnsi="宋体" w:cs="宋体"/>
                <w:i w:val="0"/>
                <w:color w:val="auto"/>
                <w:kern w:val="0"/>
                <w:sz w:val="24"/>
                <w:szCs w:val="24"/>
                <w:highlight w:val="none"/>
                <w:u w:val="none"/>
                <w:lang w:val="en-US" w:eastAsia="zh-CN" w:bidi="ar"/>
              </w:rPr>
              <w:t>敷设(电缆甲供)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低压电缆敷设</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YJV-0.6/1-3×50+2×25</w:t>
            </w:r>
            <w:r>
              <w:rPr>
                <w:rFonts w:hint="eastAsia" w:ascii="宋体" w:hAnsi="宋体" w:cs="宋体"/>
                <w:i w:val="0"/>
                <w:color w:val="auto"/>
                <w:kern w:val="0"/>
                <w:sz w:val="24"/>
                <w:szCs w:val="24"/>
                <w:highlight w:val="none"/>
                <w:u w:val="none"/>
                <w:lang w:val="en-US" w:eastAsia="zh-CN" w:bidi="ar"/>
              </w:rPr>
              <w:t>敷设(电缆甲供)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2423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低压电缆敷设</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YJV-0.6/1-3×35+2×16</w:t>
            </w:r>
            <w:r>
              <w:rPr>
                <w:rFonts w:hint="eastAsia" w:ascii="宋体" w:hAnsi="宋体" w:cs="宋体"/>
                <w:i w:val="0"/>
                <w:color w:val="auto"/>
                <w:kern w:val="0"/>
                <w:sz w:val="24"/>
                <w:szCs w:val="24"/>
                <w:highlight w:val="none"/>
                <w:u w:val="none"/>
                <w:lang w:val="en-US" w:eastAsia="zh-CN" w:bidi="ar"/>
              </w:rPr>
              <w:t>敷设(电缆甲供)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1445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低压电缆敷设</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YJV-0.6/1-5×16</w:t>
            </w:r>
            <w:r>
              <w:rPr>
                <w:rFonts w:hint="eastAsia" w:ascii="宋体" w:hAnsi="宋体" w:cs="宋体"/>
                <w:i w:val="0"/>
                <w:color w:val="auto"/>
                <w:kern w:val="0"/>
                <w:sz w:val="24"/>
                <w:szCs w:val="24"/>
                <w:highlight w:val="none"/>
                <w:u w:val="none"/>
                <w:lang w:val="en-US" w:eastAsia="zh-CN" w:bidi="ar"/>
              </w:rPr>
              <w:t>敷设(电缆甲供)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低压电缆敷设</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YJV-0.6/1-5×10</w:t>
            </w:r>
            <w:r>
              <w:rPr>
                <w:rFonts w:hint="eastAsia" w:ascii="宋体" w:hAnsi="宋体" w:cs="宋体"/>
                <w:i w:val="0"/>
                <w:color w:val="auto"/>
                <w:kern w:val="0"/>
                <w:sz w:val="24"/>
                <w:szCs w:val="24"/>
                <w:highlight w:val="none"/>
                <w:u w:val="none"/>
                <w:lang w:val="en-US" w:eastAsia="zh-CN" w:bidi="ar"/>
              </w:rPr>
              <w:t>敷设(电缆甲供)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2776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低压电缆敷设</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YJV-0.6/1-5×6</w:t>
            </w:r>
            <w:r>
              <w:rPr>
                <w:rFonts w:hint="eastAsia" w:ascii="宋体" w:hAnsi="宋体" w:cs="宋体"/>
                <w:i w:val="0"/>
                <w:color w:val="auto"/>
                <w:kern w:val="0"/>
                <w:sz w:val="24"/>
                <w:szCs w:val="24"/>
                <w:highlight w:val="none"/>
                <w:u w:val="none"/>
                <w:lang w:val="en-US" w:eastAsia="zh-CN" w:bidi="ar"/>
              </w:rPr>
              <w:t>敷设(电缆甲供)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低压电缆敷设</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YJV-0.6/1-5×4</w:t>
            </w:r>
            <w:r>
              <w:rPr>
                <w:rFonts w:hint="eastAsia" w:ascii="宋体" w:hAnsi="宋体" w:cs="宋体"/>
                <w:i w:val="0"/>
                <w:color w:val="auto"/>
                <w:kern w:val="0"/>
                <w:sz w:val="24"/>
                <w:szCs w:val="24"/>
                <w:highlight w:val="none"/>
                <w:u w:val="none"/>
                <w:lang w:val="en-US" w:eastAsia="zh-CN" w:bidi="ar"/>
              </w:rPr>
              <w:t>敷设(电缆甲供)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梯式电缆桥架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梯式电缆桥架  500mm×100mm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梯式电缆桥架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梯式电缆桥架  200mm×100mm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接地圆钢</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接地圆钢      Φ10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730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热镀锌扁铁</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热镀锌扁铁</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角钢</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角钢          L40×4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角钢</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角钢          L30×4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热镀锌电缆保护钢管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热镀锌电缆保护钢管   SC25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热镀锌电缆保护钢管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热镀锌电缆保护钢管   SC32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热镀锌电缆保护钢管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热镀锌电缆保护钢管   SC50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热镀锌电缆保护钢管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热镀锌电缆保护钢管   SC80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885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热镀锌电缆保护钢管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热镀锌电缆保护钢管   SC100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热镀锌电缆保护钢管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热镀锌电缆保护钢管   SC125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玻璃钢管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玻璃钢管      Φ150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防火泥</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防火泥（包干单价）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基础槽钢</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基础槽钢      [ 10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接地扁钢</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接地扁钢      -40×4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接地角钢</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接地角钢      L50×5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配电系统小计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五</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工业电视监控系统</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left"/>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24"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摄像机</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200W高清红外枪型网络摄像机(室内)（包干单价）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24"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摄像机</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200W高清红外枪型网络摄像机(室外)（包干单价）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摄像机</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200W高清红外半球网络摄像机（包干单价）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摄像机防尘护罩</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摄像机防尘护罩（包干单价）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网络硬盘录像机</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网络硬盘录像机  32路硬盘录像机（包干单价）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监控硬盘</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监控硬盘        4T/块（包干单价）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9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电视墙</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color w:val="auto"/>
                <w:highlight w:val="none"/>
                <w:lang w:val="en-US" w:eastAsia="zh-CN"/>
              </w:rPr>
            </w:pPr>
            <w:r>
              <w:rPr>
                <w:rFonts w:hint="eastAsia"/>
                <w:color w:val="auto"/>
                <w:highlight w:val="none"/>
                <w:lang w:val="en-US" w:eastAsia="zh-CN"/>
              </w:rPr>
              <w:t>（包干单价）</w:t>
            </w:r>
          </w:p>
          <w:p>
            <w:pPr>
              <w:numPr>
                <w:ilvl w:val="0"/>
                <w:numId w:val="0"/>
              </w:numPr>
              <w:shd w:val="clear"/>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1、电视墙：拼接尺寸大于或等于4844mmx1364mm，使用46" 液晶面板，超窄边液晶拼接单元。同于或优于三星、京东方、海康威视液晶面板。</w:t>
            </w:r>
          </w:p>
          <w:p>
            <w:pPr>
              <w:numPr>
                <w:ilvl w:val="0"/>
                <w:numId w:val="0"/>
              </w:numPr>
              <w:shd w:val="clear"/>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2、整机尺寸：1211.5mmx682.3mm，数量8块。</w:t>
            </w:r>
          </w:p>
          <w:p>
            <w:pPr>
              <w:numPr>
                <w:ilvl w:val="0"/>
                <w:numId w:val="0"/>
              </w:numPr>
              <w:shd w:val="clear"/>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3、可视面积：≥1209.4mmx680.2mm</w:t>
            </w:r>
          </w:p>
          <w:p>
            <w:pPr>
              <w:numPr>
                <w:ilvl w:val="0"/>
                <w:numId w:val="0"/>
              </w:numPr>
              <w:shd w:val="clear"/>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4、物理拼接缝隙：≤1.7mm</w:t>
            </w:r>
          </w:p>
          <w:p>
            <w:pPr>
              <w:numPr>
                <w:ilvl w:val="0"/>
                <w:numId w:val="0"/>
              </w:numPr>
              <w:shd w:val="clear"/>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5、边框宽度：≤1.15/0.55/1.15/0.55 mm</w:t>
            </w:r>
          </w:p>
          <w:p>
            <w:pPr>
              <w:numPr>
                <w:ilvl w:val="0"/>
                <w:numId w:val="0"/>
              </w:numPr>
              <w:shd w:val="clear"/>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6、响应时间：灰度响应时间≤8ms</w:t>
            </w:r>
          </w:p>
          <w:p>
            <w:pPr>
              <w:numPr>
                <w:ilvl w:val="0"/>
                <w:numId w:val="0"/>
              </w:numPr>
              <w:shd w:val="clear"/>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7、输入输出端口：不少于1路CVBS、1路VGA、1路DVI、1路HDMI、1路USB、1路RJ45，RS232控制信号环入端口、RS232控制信号环出端口、红外接入转换接口（接口类型为RJ45）。</w:t>
            </w:r>
          </w:p>
          <w:p>
            <w:pPr>
              <w:numPr>
                <w:ilvl w:val="0"/>
                <w:numId w:val="0"/>
              </w:numPr>
              <w:shd w:val="clear"/>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8、视频特性：3D数字梳状滤波器、3D图像运动降噪、3D运动自适应梳状滤波器等</w:t>
            </w:r>
          </w:p>
          <w:p>
            <w:pPr>
              <w:numPr>
                <w:ilvl w:val="0"/>
                <w:numId w:val="0"/>
              </w:numPr>
              <w:shd w:val="clear"/>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9、输入电压100V-220V AC</w:t>
            </w:r>
          </w:p>
          <w:p>
            <w:pPr>
              <w:numPr>
                <w:ilvl w:val="0"/>
                <w:numId w:val="0"/>
              </w:numPr>
              <w:shd w:val="clear"/>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10、待机功耗≤0.5W</w:t>
            </w:r>
          </w:p>
          <w:p>
            <w:pPr>
              <w:numPr>
                <w:ilvl w:val="0"/>
                <w:numId w:val="0"/>
              </w:numPr>
              <w:shd w:val="clear"/>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11、额定功耗：≤250W</w:t>
            </w:r>
          </w:p>
          <w:p>
            <w:pPr>
              <w:pStyle w:val="2"/>
              <w:shd w:val="clear"/>
              <w:ind w:firstLine="480" w:firstLineChars="200"/>
              <w:rPr>
                <w:rFonts w:hint="eastAsia"/>
                <w:color w:val="auto"/>
                <w:highlight w:val="none"/>
              </w:rPr>
            </w:pPr>
            <w:r>
              <w:rPr>
                <w:rFonts w:hint="eastAsia" w:ascii="宋体" w:hAnsi="宋体"/>
                <w:b w:val="0"/>
                <w:bCs w:val="0"/>
                <w:color w:val="auto"/>
                <w:kern w:val="2"/>
                <w:sz w:val="24"/>
                <w:szCs w:val="24"/>
                <w:highlight w:val="none"/>
                <w:lang w:val="en-US" w:eastAsia="zh-CN" w:bidi="ar-SA"/>
              </w:rPr>
              <w:t>12、工作环境：温度0℃-50℃、储藏温度20℃-65℃、工作湿度20%-90%RG</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解码器</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大屏解码器（包干单价）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24"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联络箱</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室内外联络箱 含交换机、电源模块等（包干单价）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网线</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网线     CAT5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光缆</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光缆</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立杆</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立杆      h=3.5m（包干单价）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24"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屏体附属设备</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B26642内含中心交换机、光纤收发器等（包干单价）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面</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附件</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光纤跳线、水晶头、光纤盒等附件（包干单价）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编程调试</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编程调试（包干单价）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工业电视监控系统小计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六</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照明系统</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left"/>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室内照明配电箱</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18模（包干单价）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室外照明配电箱 </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6回路（包干单价）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行灯变压器</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行灯变压器      220V/36V 3kVA（包干单价）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防爆灯</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防爆灯          LED 220V 24W（包干单价）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防雨罗口灯</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防雨罗口灯      LED 36V  50W（包干单价）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导线</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RVV-450/750V-2×1.5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导线</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RVV-450/750V-3×1.5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导线</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RVV-450/750V-3×2.5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导线</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RVV-450/750V-3×4</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开关盒</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路灯控制开关盒（包干单价）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路灯</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LED路灯      60W H=5（包干单价）</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盏</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电缆</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电缆         YJV22-5×6</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热镀锌电缆保护钢管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热镀锌电缆保护钢管   SC25</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4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照明系统小计</w:t>
            </w:r>
          </w:p>
        </w:tc>
        <w:tc>
          <w:tcPr>
            <w:tcW w:w="437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nil"/>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    计</w:t>
            </w:r>
          </w:p>
        </w:tc>
        <w:tc>
          <w:tcPr>
            <w:tcW w:w="4374" w:type="dxa"/>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rPr>
                <w:rFonts w:hint="eastAsia" w:ascii="宋体" w:hAnsi="宋体" w:eastAsia="宋体" w:cs="宋体"/>
                <w:i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rPr>
                <w:rFonts w:hint="eastAsia" w:ascii="宋体" w:hAnsi="宋体" w:eastAsia="宋体" w:cs="宋体"/>
                <w:i w:val="0"/>
                <w:color w:val="auto"/>
                <w:sz w:val="22"/>
                <w:szCs w:val="22"/>
                <w:highlight w:val="none"/>
                <w:u w:val="none"/>
              </w:rPr>
            </w:pPr>
          </w:p>
        </w:tc>
      </w:tr>
    </w:tbl>
    <w:p>
      <w:pPr>
        <w:pStyle w:val="2"/>
        <w:shd w:val="clear"/>
        <w:jc w:val="center"/>
        <w:rPr>
          <w:rFonts w:hint="eastAsia"/>
          <w:sz w:val="28"/>
          <w:szCs w:val="24"/>
          <w:highlight w:val="none"/>
          <w:lang w:val="en-US" w:eastAsia="zh-CN"/>
        </w:rPr>
        <w:sectPr>
          <w:pgSz w:w="16840" w:h="11907" w:orient="landscape"/>
          <w:pgMar w:top="1134" w:right="1361" w:bottom="1134" w:left="1361" w:header="720" w:footer="720" w:gutter="0"/>
          <w:cols w:space="720" w:num="1"/>
          <w:docGrid w:linePitch="285" w:charSpace="0"/>
        </w:sectPr>
      </w:pPr>
    </w:p>
    <w:tbl>
      <w:tblPr>
        <w:tblStyle w:val="37"/>
        <w:tblW w:w="0" w:type="auto"/>
        <w:tblInd w:w="0" w:type="dxa"/>
        <w:shd w:val="clear" w:color="auto" w:fill="auto"/>
        <w:tblLayout w:type="fixed"/>
        <w:tblCellMar>
          <w:top w:w="0" w:type="dxa"/>
          <w:left w:w="0" w:type="dxa"/>
          <w:bottom w:w="0" w:type="dxa"/>
          <w:right w:w="0" w:type="dxa"/>
        </w:tblCellMar>
      </w:tblPr>
      <w:tblGrid>
        <w:gridCol w:w="964"/>
        <w:gridCol w:w="4325"/>
        <w:gridCol w:w="7250"/>
        <w:gridCol w:w="1885"/>
      </w:tblGrid>
      <w:tr>
        <w:tblPrEx>
          <w:shd w:val="clear" w:color="auto" w:fill="auto"/>
          <w:tblCellMar>
            <w:top w:w="0" w:type="dxa"/>
            <w:left w:w="0" w:type="dxa"/>
            <w:bottom w:w="0" w:type="dxa"/>
            <w:right w:w="0" w:type="dxa"/>
          </w:tblCellMar>
        </w:tblPrEx>
        <w:trPr>
          <w:trHeight w:val="375" w:hRule="atLeast"/>
        </w:trPr>
        <w:tc>
          <w:tcPr>
            <w:tcW w:w="14424"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center"/>
              <w:textAlignment w:val="bottom"/>
              <w:rPr>
                <w:rFonts w:hint="eastAsia" w:ascii="宋体" w:hAnsi="宋体" w:eastAsia="宋体" w:cs="宋体"/>
                <w:i w:val="0"/>
                <w:color w:val="auto"/>
                <w:sz w:val="28"/>
                <w:szCs w:val="28"/>
                <w:highlight w:val="none"/>
                <w:u w:val="none"/>
              </w:rPr>
            </w:pPr>
            <w:r>
              <w:rPr>
                <w:rFonts w:hint="eastAsia" w:ascii="宋体" w:hAnsi="宋体" w:eastAsia="宋体" w:cs="宋体"/>
                <w:b/>
                <w:bCs/>
                <w:i w:val="0"/>
                <w:color w:val="auto"/>
                <w:kern w:val="0"/>
                <w:sz w:val="28"/>
                <w:szCs w:val="28"/>
                <w:highlight w:val="none"/>
                <w:u w:val="none"/>
                <w:lang w:val="en-US" w:eastAsia="zh-CN" w:bidi="ar"/>
              </w:rPr>
              <w:t>安装工程投标报价清单取费表</w:t>
            </w:r>
          </w:p>
        </w:tc>
      </w:tr>
      <w:tr>
        <w:tblPrEx>
          <w:tblCellMar>
            <w:top w:w="0" w:type="dxa"/>
            <w:left w:w="0" w:type="dxa"/>
            <w:bottom w:w="0" w:type="dxa"/>
            <w:right w:w="0" w:type="dxa"/>
          </w:tblCellMar>
        </w:tblPrEx>
        <w:trPr>
          <w:trHeight w:val="270"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4325"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费用名称</w:t>
            </w:r>
          </w:p>
        </w:tc>
        <w:tc>
          <w:tcPr>
            <w:tcW w:w="725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取费公式及费率</w:t>
            </w:r>
          </w:p>
        </w:tc>
        <w:tc>
          <w:tcPr>
            <w:tcW w:w="1885"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default"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金额(元)</w:t>
            </w: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(一)安装工程费</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default" w:ascii="宋体" w:hAnsi="宋体" w:eastAsia="宋体" w:cs="宋体"/>
                <w:i w:val="0"/>
                <w:color w:val="auto"/>
                <w:sz w:val="24"/>
                <w:szCs w:val="24"/>
                <w:highlight w:val="none"/>
                <w:u w:val="none"/>
                <w:lang w:val="en-US"/>
              </w:rPr>
            </w:pPr>
            <w:r>
              <w:rPr>
                <w:rFonts w:hint="eastAsia" w:ascii="宋体" w:hAnsi="宋体" w:eastAsia="宋体" w:cs="宋体"/>
                <w:i w:val="0"/>
                <w:color w:val="auto"/>
                <w:kern w:val="0"/>
                <w:sz w:val="24"/>
                <w:szCs w:val="24"/>
                <w:highlight w:val="none"/>
                <w:u w:val="none"/>
                <w:lang w:val="en-US" w:eastAsia="zh-CN" w:bidi="ar"/>
              </w:rPr>
              <w:t>RGF+CLF+JXF</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default" w:ascii="宋体" w:hAnsi="宋体" w:eastAsia="宋体" w:cs="宋体"/>
                <w:i w:val="0"/>
                <w:color w:val="auto"/>
                <w:sz w:val="24"/>
                <w:szCs w:val="24"/>
                <w:highlight w:val="none"/>
                <w:u w:val="none"/>
                <w:lang w:val="en-US" w:eastAsia="zh-CN"/>
              </w:rPr>
            </w:pP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1、人工费</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RGF</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default" w:ascii="宋体" w:hAnsi="宋体" w:eastAsia="宋体" w:cs="宋体"/>
                <w:i w:val="0"/>
                <w:color w:val="auto"/>
                <w:sz w:val="24"/>
                <w:szCs w:val="24"/>
                <w:highlight w:val="none"/>
                <w:u w:val="none"/>
                <w:lang w:val="en-US" w:eastAsia="zh-CN"/>
              </w:rPr>
            </w:pP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2、材料费</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CLF</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default" w:ascii="宋体" w:hAnsi="宋体" w:eastAsia="宋体" w:cs="宋体"/>
                <w:i w:val="0"/>
                <w:color w:val="auto"/>
                <w:sz w:val="24"/>
                <w:szCs w:val="24"/>
                <w:highlight w:val="none"/>
                <w:u w:val="none"/>
                <w:lang w:val="en-US" w:eastAsia="zh-CN"/>
              </w:rPr>
            </w:pP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3、机械费</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JXF</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(二)技术措施费</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JSCSF</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(三)企业管理费</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([1.1]+[1.3]+[2])×17.28%</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(四)利润</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([1.1]+[1.3]+[2])×17%</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(五)组织措施费</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1.环保、文明、安全费</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([1]+[2]+[3]+[4])×2.05%</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2.临时设施费</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([1]+[2]+[3]+[4])×1.44%</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3.冬雨季、夜间施工费等</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([1.1]+[1.3]+[2]+[3]+[4])×3.281%</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(六)其他项目费</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QTXMF</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(七)地区差价</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ZFC+FFC</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(八)规费</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1.社会保障费</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2"/>
                <w:szCs w:val="22"/>
                <w:highlight w:val="none"/>
                <w:u w:val="none"/>
                <w:lang w:val="en-US" w:eastAsia="zh-CN" w:bidi="ar"/>
              </w:rPr>
              <w:t>([1]+[2]+[3]+[4]+[5]+[6]+[7])×0</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2.排污、伤保、定额测定费</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2"/>
                <w:szCs w:val="22"/>
                <w:highlight w:val="none"/>
                <w:u w:val="none"/>
                <w:lang w:val="en-US" w:eastAsia="zh-CN" w:bidi="ar"/>
              </w:rPr>
              <w:t>([1]+[2]+[3]+[4]+[5]+[6]+[7])×0.33%</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9</w:t>
            </w: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(九)增值税</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2"/>
                <w:szCs w:val="22"/>
                <w:highlight w:val="none"/>
                <w:u w:val="none"/>
                <w:lang w:val="en-US" w:eastAsia="zh-CN" w:bidi="ar"/>
              </w:rPr>
              <w:t>([1]+[2]+[3]+[4]+[5]+[6]+[7]+[8])×9%</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270" w:hRule="atLeast"/>
        </w:trPr>
        <w:tc>
          <w:tcPr>
            <w:tcW w:w="964"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432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(十)总造价</w:t>
            </w:r>
          </w:p>
        </w:tc>
        <w:tc>
          <w:tcPr>
            <w:tcW w:w="725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2"/>
                <w:szCs w:val="22"/>
                <w:highlight w:val="none"/>
                <w:u w:val="none"/>
                <w:lang w:val="en-US" w:eastAsia="zh-CN" w:bidi="ar"/>
              </w:rPr>
              <w:t>[1]+[2]+[3]+[4]+[5]+[6]+[7]+[8]+[9]</w:t>
            </w:r>
          </w:p>
        </w:tc>
        <w:tc>
          <w:tcPr>
            <w:tcW w:w="1885"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p>
        </w:tc>
      </w:tr>
    </w:tbl>
    <w:p>
      <w:pPr>
        <w:pStyle w:val="2"/>
        <w:shd w:val="clear"/>
        <w:rPr>
          <w:rFonts w:hint="eastAsia"/>
          <w:b w:val="0"/>
          <w:color w:val="auto"/>
          <w:sz w:val="24"/>
          <w:highlight w:val="none"/>
          <w:lang w:eastAsia="zh-CN"/>
        </w:rPr>
      </w:pPr>
    </w:p>
    <w:p>
      <w:pPr>
        <w:pStyle w:val="2"/>
        <w:shd w:val="clear"/>
        <w:rPr>
          <w:rFonts w:hint="eastAsia" w:ascii="宋体" w:hAnsi="宋体" w:eastAsia="宋体" w:cs="宋体"/>
          <w:b/>
          <w:bCs/>
          <w:i w:val="0"/>
          <w:color w:val="auto"/>
          <w:kern w:val="0"/>
          <w:sz w:val="24"/>
          <w:szCs w:val="24"/>
          <w:highlight w:val="none"/>
          <w:u w:val="none"/>
          <w:lang w:val="en-US" w:eastAsia="zh-CN" w:bidi="ar"/>
        </w:rPr>
      </w:pPr>
      <w:r>
        <w:rPr>
          <w:rFonts w:hint="eastAsia"/>
          <w:color w:val="auto"/>
          <w:sz w:val="24"/>
          <w:szCs w:val="22"/>
          <w:highlight w:val="none"/>
          <w:lang w:val="en-US" w:eastAsia="zh-CN"/>
        </w:rPr>
        <w:t>注：1、预备费不按比例计取，本标段预备费为87万元，采用固定价格，不作为竞争性费用，</w:t>
      </w:r>
      <w:r>
        <w:rPr>
          <w:rFonts w:hint="eastAsia" w:ascii="宋体" w:hAnsi="宋体" w:eastAsia="宋体" w:cs="宋体"/>
          <w:b/>
          <w:bCs/>
          <w:i w:val="0"/>
          <w:color w:val="auto"/>
          <w:kern w:val="0"/>
          <w:sz w:val="24"/>
          <w:szCs w:val="24"/>
          <w:highlight w:val="none"/>
          <w:u w:val="none"/>
          <w:lang w:val="en-US" w:eastAsia="zh-CN" w:bidi="ar"/>
        </w:rPr>
        <w:t>不计入投标总价。</w:t>
      </w:r>
    </w:p>
    <w:p>
      <w:pPr>
        <w:pStyle w:val="2"/>
        <w:numPr>
          <w:ilvl w:val="0"/>
          <w:numId w:val="13"/>
        </w:numPr>
        <w:shd w:val="clear"/>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以上清单如有漏项，首先参照同类项目计取，如没有同类项目参考，参考相关定额或信息价执行，如仍没有，可以由招标人组织询价确定。</w:t>
      </w:r>
    </w:p>
    <w:p>
      <w:pPr>
        <w:pStyle w:val="2"/>
        <w:numPr>
          <w:ilvl w:val="0"/>
          <w:numId w:val="13"/>
        </w:numPr>
        <w:shd w:val="clear"/>
        <w:ind w:left="0" w:leftChars="0" w:firstLine="0" w:firstLineChars="0"/>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b/>
          <w:bCs/>
          <w:i w:val="0"/>
          <w:color w:val="auto"/>
          <w:kern w:val="0"/>
          <w:sz w:val="24"/>
          <w:szCs w:val="24"/>
          <w:highlight w:val="none"/>
          <w:u w:val="none"/>
          <w:lang w:val="en-US" w:eastAsia="zh-CN" w:bidi="ar"/>
        </w:rPr>
        <w:t>根据《石府办抄字【2011】124号》文件精神，养老保险、失业保险、医疗保险以及住房公积金不计入本次招标控制价，工程结算时由施工单位提供为投入本项目人员缴纳的票据据实结算。</w:t>
      </w:r>
    </w:p>
    <w:p>
      <w:pPr>
        <w:pStyle w:val="2"/>
        <w:shd w:val="clear"/>
        <w:jc w:val="center"/>
        <w:rPr>
          <w:rFonts w:hint="eastAsia"/>
          <w:sz w:val="28"/>
          <w:szCs w:val="24"/>
          <w:highlight w:val="none"/>
          <w:lang w:val="en-US" w:eastAsia="zh-CN"/>
        </w:rPr>
        <w:sectPr>
          <w:pgSz w:w="16840" w:h="11907" w:orient="landscape"/>
          <w:pgMar w:top="1134" w:right="1361" w:bottom="1134" w:left="1361" w:header="720" w:footer="720" w:gutter="0"/>
          <w:cols w:space="720" w:num="1"/>
          <w:docGrid w:linePitch="285" w:charSpace="0"/>
        </w:sectPr>
      </w:pPr>
    </w:p>
    <w:p>
      <w:pPr>
        <w:pStyle w:val="2"/>
        <w:shd w:val="clear"/>
        <w:jc w:val="center"/>
        <w:rPr>
          <w:rFonts w:hint="eastAsia"/>
          <w:sz w:val="28"/>
          <w:szCs w:val="24"/>
          <w:highlight w:val="none"/>
          <w:lang w:val="en-US" w:eastAsia="zh-CN"/>
        </w:rPr>
      </w:pPr>
      <w:r>
        <w:rPr>
          <w:rFonts w:hint="eastAsia"/>
          <w:sz w:val="28"/>
          <w:szCs w:val="24"/>
          <w:highlight w:val="none"/>
          <w:lang w:val="en-US" w:eastAsia="zh-CN"/>
        </w:rPr>
        <w:t>附表：甲供设备材料清单表</w:t>
      </w:r>
    </w:p>
    <w:p>
      <w:pPr>
        <w:pStyle w:val="2"/>
        <w:shd w:val="clear"/>
        <w:jc w:val="center"/>
        <w:rPr>
          <w:rFonts w:hint="eastAsia"/>
          <w:sz w:val="28"/>
          <w:szCs w:val="24"/>
          <w:highlight w:val="none"/>
          <w:lang w:val="en-US" w:eastAsia="zh-CN"/>
        </w:rPr>
      </w:pPr>
    </w:p>
    <w:tbl>
      <w:tblPr>
        <w:tblStyle w:val="37"/>
        <w:tblW w:w="13438" w:type="dxa"/>
        <w:tblInd w:w="0" w:type="dxa"/>
        <w:tblLayout w:type="fixed"/>
        <w:tblCellMar>
          <w:top w:w="0" w:type="dxa"/>
          <w:left w:w="0" w:type="dxa"/>
          <w:bottom w:w="0" w:type="dxa"/>
          <w:right w:w="0" w:type="dxa"/>
        </w:tblCellMar>
      </w:tblPr>
      <w:tblGrid>
        <w:gridCol w:w="1085"/>
        <w:gridCol w:w="2970"/>
        <w:gridCol w:w="4150"/>
        <w:gridCol w:w="1673"/>
        <w:gridCol w:w="1501"/>
        <w:gridCol w:w="2059"/>
      </w:tblGrid>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序号</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设备名称</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简要技术参数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单位</w:t>
            </w:r>
          </w:p>
        </w:tc>
        <w:tc>
          <w:tcPr>
            <w:tcW w:w="1501"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工程量</w:t>
            </w:r>
          </w:p>
        </w:tc>
        <w:tc>
          <w:tcPr>
            <w:tcW w:w="2059"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备注</w:t>
            </w:r>
          </w:p>
        </w:tc>
      </w:tr>
      <w:tr>
        <w:tblPrEx>
          <w:tblCellMar>
            <w:top w:w="0" w:type="dxa"/>
            <w:left w:w="0" w:type="dxa"/>
            <w:bottom w:w="0" w:type="dxa"/>
            <w:right w:w="0" w:type="dxa"/>
          </w:tblCellMar>
        </w:tblPrEx>
        <w:trPr>
          <w:trHeight w:val="390" w:hRule="atLeast"/>
        </w:trPr>
        <w:tc>
          <w:tcPr>
            <w:tcW w:w="13438"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default" w:ascii="宋体" w:hAnsi="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一、</w:t>
            </w:r>
            <w:r>
              <w:rPr>
                <w:rFonts w:hint="eastAsia" w:ascii="宋体" w:hAnsi="宋体" w:eastAsia="宋体" w:cs="宋体"/>
                <w:i w:val="0"/>
                <w:color w:val="auto"/>
                <w:kern w:val="0"/>
                <w:sz w:val="22"/>
                <w:szCs w:val="22"/>
                <w:highlight w:val="none"/>
                <w:u w:val="none"/>
                <w:lang w:val="en-US" w:eastAsia="zh-CN" w:bidi="ar"/>
              </w:rPr>
              <w:t>砂石加工系统</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1</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棒条给料机（甲供）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棒条给料机 HPF1860  1台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11.5</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颚式破碎机（甲供）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颚式破碎机 JC1600   1台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3</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圆锥破碎机（甲供）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圆锥破碎机 CC400S-EC 1台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4</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圆锥破碎机（甲供）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圆锥破碎机 CC400M   2台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70</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立轴破（甲供）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立轴破     VS1500R  2台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6</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棒磨机（甲供）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棒磨机     JPS500   1台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156</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7</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   2YA2460  1台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8</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   3YA3675  2台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9</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   3YA3075  2台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圆振动筛    YA2460  1台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11</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直线脱水筛（甲供）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直线脱水筛 USL2460  3台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12</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直线脱水筛（甲供）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直线脱水筛 USL3060  2台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13</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振动给料机（甲供）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振动给料机 GZG1253  9台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13.5</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14</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振动给料机（甲供）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振动给料机 GZG1504  22台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15</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洗砂机（甲供）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洗砂机     RXL-914  1台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16</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洗砂机（甲供）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洗砂机     RXL-1118 2台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17</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洗砂机（甲供）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洗砂机     2RXL-1118 2台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18</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细沙回收机（甲供）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细沙回收机TS-1836 2台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19</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除铁器 （甲供）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除铁器 1台（包干单价）</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20</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金属探测仪（甲供）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金属探测仪 1台（包干单价）</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27条皮带机总重381.54t，</w:t>
            </w:r>
            <w:r>
              <w:rPr>
                <w:rFonts w:hint="eastAsia" w:ascii="宋体" w:hAnsi="宋体" w:eastAsia="宋体" w:cs="宋体"/>
                <w:b w:val="0"/>
                <w:bCs w:val="0"/>
                <w:i w:val="0"/>
                <w:color w:val="auto"/>
                <w:kern w:val="0"/>
                <w:sz w:val="22"/>
                <w:szCs w:val="22"/>
                <w:highlight w:val="none"/>
                <w:u w:val="none"/>
                <w:lang w:val="en-US" w:eastAsia="zh-CN" w:bidi="ar"/>
              </w:rPr>
              <w:t>电气保护设置拉绳开关、跑偏开关等</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hd w:val="clear"/>
              <w:jc w:val="center"/>
              <w:rPr>
                <w:rFonts w:hint="eastAsia" w:ascii="宋体" w:hAnsi="宋体" w:eastAsia="宋体" w:cs="宋体"/>
                <w:i w:val="0"/>
                <w:color w:val="auto"/>
                <w:sz w:val="22"/>
                <w:szCs w:val="22"/>
                <w:highlight w:val="none"/>
                <w:u w:val="none"/>
              </w:rPr>
            </w:pP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21-1</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16°L=17.28 22KW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7.48</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21-2</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16°L=75.57 90KW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24.25</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21-3</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p3</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B800 v=1.6m/s 12.81°L=31.87 15KW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8.14</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21-4</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p4</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11.36°L=77.66 75KW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24.14</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21-5</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p5</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B1400 v=2.5m/s 14.65°L=73.13 110KW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30.18</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21-6</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p6</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6.07°L=14.17 11KW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5.75</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21-7</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p7</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0°L=15.19 5.5KW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5.69</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21-8</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p8</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0°L=14.92 11KW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7.53</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21-9</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p9</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5.36°L=51.4 22KW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10.97</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21-10</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p10</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13.84°L=60.43 75KW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21-11</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p11</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15.55°L=50.73 55KW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14.3</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21-12</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p12</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B1200 v=1.6m/s 14.78°L=66.1 55KW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19.94</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21-13</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p13</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B800 v=1.6m/s 15.65°L=29.35 11KW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5.87</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21-14</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p14</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B650 v=1.6m/s 0°L=10.64 5.5KW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21-15</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p15</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B800 v=1.6m/s 17.08°L=26.5 15KW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6.27</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21-16</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p16</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B800 v=1.6m/s 5.75°L=54.31 22KW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8.01</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21-17</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p17</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B800 v=1.6m/s 9.27°L=68.28 30KW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9.14</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21-18</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p18</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B650 v=1.6m/s 8.21°L=77.06 15KW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8.21</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21-19</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p19</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B650 v=1.6m/s 5.26°L=98.21 22KW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8.91</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21-20</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p20</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12.25°L=66.71 37KW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13.53</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21-21</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p21</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16.11°L=60.52 45KW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13.27</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21-22</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p22</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8.22°L=25.97 15KW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9.71</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21-23</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p23</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8.31°L=98.89 55KW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19.61</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21-24</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p24</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B1000 v=1.6m/s 0°L=35 11KW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7.56</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21-25</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p25</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B1400 v=1.6m/s 12.43°L=196.42 110KW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54.13</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21-26</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p26</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B1400 v=1.6m/s 13.38°L=38.88 55KW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16.39</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21-27</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皮带机 p27</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B1400 v=1.6m/s 0°L=45.46 30KW 1条</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19.2</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21-28</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电动机安装</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≤0.5t（包干单价）</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21-29</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电动机安装</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0.5t＜，且≤1t（包干单价）</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2059"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21-30</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减速机安装</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&lt;850mm &lt;1.5t（包干单价）</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台</w:t>
            </w:r>
          </w:p>
        </w:tc>
        <w:tc>
          <w:tcPr>
            <w:tcW w:w="1501"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2059" w:type="dxa"/>
            <w:tcBorders>
              <w:top w:val="nil"/>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22</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地磅 100t</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（包干单价）</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套</w:t>
            </w:r>
          </w:p>
        </w:tc>
        <w:tc>
          <w:tcPr>
            <w:tcW w:w="1501"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w:t>
            </w:r>
          </w:p>
        </w:tc>
        <w:tc>
          <w:tcPr>
            <w:tcW w:w="2059" w:type="dxa"/>
            <w:tcBorders>
              <w:top w:val="single" w:color="auto" w:sz="4" w:space="0"/>
              <w:left w:val="single" w:color="000000" w:sz="4" w:space="0"/>
              <w:bottom w:val="nil"/>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3438"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二、</w:t>
            </w:r>
            <w:r>
              <w:rPr>
                <w:rFonts w:hint="eastAsia" w:ascii="宋体" w:hAnsi="宋体" w:eastAsia="宋体" w:cs="宋体"/>
                <w:i w:val="0"/>
                <w:color w:val="auto"/>
                <w:kern w:val="0"/>
                <w:sz w:val="22"/>
                <w:szCs w:val="22"/>
                <w:highlight w:val="none"/>
                <w:u w:val="none"/>
                <w:lang w:val="en-US" w:eastAsia="zh-CN" w:bidi="ar"/>
              </w:rPr>
              <w:t>除尘系统</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布袋除尘器   PPW64-6 （甲供）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处理风量23040m3/h、过滤面积384m2、风机功率37kW、2台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40</w:t>
            </w:r>
          </w:p>
        </w:tc>
        <w:tc>
          <w:tcPr>
            <w:tcW w:w="2059" w:type="dxa"/>
            <w:tcBorders>
              <w:top w:val="nil"/>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布袋除尘器   PPW96-6（甲供）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处理风量34560m3/h、过滤面积576m2、风机功率55kW、2台</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52</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3</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高压喷雾主机（甲供）</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10台（甲供）安装</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t</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3</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4</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空压机</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LG-22/7   110kW（甲供）安装（包干单价）</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台</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储气罐</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容量3m³（包干单价）</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台</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3</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3438"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三、配电系统</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电力电缆敷设</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YJV22-12/20kV-3×35</w:t>
            </w:r>
            <w:r>
              <w:rPr>
                <w:rFonts w:hint="eastAsia" w:ascii="宋体" w:hAnsi="宋体" w:cs="宋体"/>
                <w:i w:val="0"/>
                <w:color w:val="auto"/>
                <w:kern w:val="0"/>
                <w:sz w:val="24"/>
                <w:szCs w:val="24"/>
                <w:highlight w:val="none"/>
                <w:u w:val="none"/>
                <w:lang w:val="en-US" w:eastAsia="zh-CN" w:bidi="ar"/>
              </w:rPr>
              <w:t>敷设(电缆甲供)</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m</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150</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2</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低压电缆敷设</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YJV-0.6/1-3×240+2×120</w:t>
            </w:r>
            <w:r>
              <w:rPr>
                <w:rFonts w:hint="eastAsia" w:ascii="宋体" w:hAnsi="宋体" w:cs="宋体"/>
                <w:i w:val="0"/>
                <w:color w:val="auto"/>
                <w:kern w:val="0"/>
                <w:sz w:val="24"/>
                <w:szCs w:val="24"/>
                <w:highlight w:val="none"/>
                <w:u w:val="none"/>
                <w:lang w:val="en-US" w:eastAsia="zh-CN" w:bidi="ar"/>
              </w:rPr>
              <w:t>敷设(电缆甲供)</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m</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335</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3</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低压电缆敷设</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YJV-0.6/1-3×185+2×95</w:t>
            </w:r>
            <w:r>
              <w:rPr>
                <w:rFonts w:hint="eastAsia" w:ascii="宋体" w:hAnsi="宋体" w:cs="宋体"/>
                <w:i w:val="0"/>
                <w:color w:val="auto"/>
                <w:kern w:val="0"/>
                <w:sz w:val="24"/>
                <w:szCs w:val="24"/>
                <w:highlight w:val="none"/>
                <w:u w:val="none"/>
                <w:lang w:val="en-US" w:eastAsia="zh-CN" w:bidi="ar"/>
              </w:rPr>
              <w:t>敷设(电缆甲供)</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m</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572</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4</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低压电缆敷设</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YJV-0.6/1-3×150+2×70</w:t>
            </w:r>
            <w:r>
              <w:rPr>
                <w:rFonts w:hint="eastAsia" w:ascii="宋体" w:hAnsi="宋体" w:cs="宋体"/>
                <w:i w:val="0"/>
                <w:color w:val="auto"/>
                <w:kern w:val="0"/>
                <w:sz w:val="24"/>
                <w:szCs w:val="24"/>
                <w:highlight w:val="none"/>
                <w:u w:val="none"/>
                <w:lang w:val="en-US" w:eastAsia="zh-CN" w:bidi="ar"/>
              </w:rPr>
              <w:t>敷设(电缆甲供)</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m</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525</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低压电缆敷设</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YJV-0.6/1-3×95+2×50</w:t>
            </w:r>
            <w:r>
              <w:rPr>
                <w:rFonts w:hint="eastAsia" w:ascii="宋体" w:hAnsi="宋体" w:cs="宋体"/>
                <w:i w:val="0"/>
                <w:color w:val="auto"/>
                <w:kern w:val="0"/>
                <w:sz w:val="24"/>
                <w:szCs w:val="24"/>
                <w:highlight w:val="none"/>
                <w:u w:val="none"/>
                <w:lang w:val="en-US" w:eastAsia="zh-CN" w:bidi="ar"/>
              </w:rPr>
              <w:t>敷设(电缆甲供)</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m</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540</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6</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低压电缆敷设</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YJV-0.6/1-3×70+2×35</w:t>
            </w:r>
            <w:r>
              <w:rPr>
                <w:rFonts w:hint="eastAsia" w:ascii="宋体" w:hAnsi="宋体" w:cs="宋体"/>
                <w:i w:val="0"/>
                <w:color w:val="auto"/>
                <w:kern w:val="0"/>
                <w:sz w:val="24"/>
                <w:szCs w:val="24"/>
                <w:highlight w:val="none"/>
                <w:u w:val="none"/>
                <w:lang w:val="en-US" w:eastAsia="zh-CN" w:bidi="ar"/>
              </w:rPr>
              <w:t>敷设(电缆甲供)</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m</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77</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7</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低压电缆敷设</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YJV-0.6/1-3×50+2×25</w:t>
            </w:r>
            <w:r>
              <w:rPr>
                <w:rFonts w:hint="eastAsia" w:ascii="宋体" w:hAnsi="宋体" w:cs="宋体"/>
                <w:i w:val="0"/>
                <w:color w:val="auto"/>
                <w:kern w:val="0"/>
                <w:sz w:val="24"/>
                <w:szCs w:val="24"/>
                <w:highlight w:val="none"/>
                <w:u w:val="none"/>
                <w:lang w:val="en-US" w:eastAsia="zh-CN" w:bidi="ar"/>
              </w:rPr>
              <w:t>敷设(电缆甲供)</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m</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2423</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8</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低压电缆敷设</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YJV-0.6/1-3×35+2×16</w:t>
            </w:r>
            <w:r>
              <w:rPr>
                <w:rFonts w:hint="eastAsia" w:ascii="宋体" w:hAnsi="宋体" w:cs="宋体"/>
                <w:i w:val="0"/>
                <w:color w:val="auto"/>
                <w:kern w:val="0"/>
                <w:sz w:val="24"/>
                <w:szCs w:val="24"/>
                <w:highlight w:val="none"/>
                <w:u w:val="none"/>
                <w:lang w:val="en-US" w:eastAsia="zh-CN" w:bidi="ar"/>
              </w:rPr>
              <w:t>敷设(电缆甲供)</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m</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1445</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9</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低压电缆敷设</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YJV-0.6/1-5×16</w:t>
            </w:r>
            <w:r>
              <w:rPr>
                <w:rFonts w:hint="eastAsia" w:ascii="宋体" w:hAnsi="宋体" w:cs="宋体"/>
                <w:i w:val="0"/>
                <w:color w:val="auto"/>
                <w:kern w:val="0"/>
                <w:sz w:val="24"/>
                <w:szCs w:val="24"/>
                <w:highlight w:val="none"/>
                <w:u w:val="none"/>
                <w:lang w:val="en-US" w:eastAsia="zh-CN" w:bidi="ar"/>
              </w:rPr>
              <w:t>敷设(电缆甲供)</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m</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406</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低压电缆敷设</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YJV-0.6/1-5×10</w:t>
            </w:r>
            <w:r>
              <w:rPr>
                <w:rFonts w:hint="eastAsia" w:ascii="宋体" w:hAnsi="宋体" w:cs="宋体"/>
                <w:i w:val="0"/>
                <w:color w:val="auto"/>
                <w:kern w:val="0"/>
                <w:sz w:val="24"/>
                <w:szCs w:val="24"/>
                <w:highlight w:val="none"/>
                <w:u w:val="none"/>
                <w:lang w:val="en-US" w:eastAsia="zh-CN" w:bidi="ar"/>
              </w:rPr>
              <w:t>敷设(电缆甲供)</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m</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2776</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11</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低压电缆敷设</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YJV-0.6/1-5×6</w:t>
            </w:r>
            <w:r>
              <w:rPr>
                <w:rFonts w:hint="eastAsia" w:ascii="宋体" w:hAnsi="宋体" w:cs="宋体"/>
                <w:i w:val="0"/>
                <w:color w:val="auto"/>
                <w:kern w:val="0"/>
                <w:sz w:val="24"/>
                <w:szCs w:val="24"/>
                <w:highlight w:val="none"/>
                <w:u w:val="none"/>
                <w:lang w:val="en-US" w:eastAsia="zh-CN" w:bidi="ar"/>
              </w:rPr>
              <w:t>敷设(电缆甲供)</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m</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517</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r>
        <w:tblPrEx>
          <w:tblCellMar>
            <w:top w:w="0" w:type="dxa"/>
            <w:left w:w="0" w:type="dxa"/>
            <w:bottom w:w="0" w:type="dxa"/>
            <w:right w:w="0" w:type="dxa"/>
          </w:tblCellMar>
        </w:tblPrEx>
        <w:trPr>
          <w:trHeight w:val="390" w:hRule="atLeast"/>
        </w:trPr>
        <w:tc>
          <w:tcPr>
            <w:tcW w:w="108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hd w:val="clear"/>
              <w:jc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12</w:t>
            </w:r>
          </w:p>
        </w:tc>
        <w:tc>
          <w:tcPr>
            <w:tcW w:w="297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低压电缆敷设</w:t>
            </w:r>
          </w:p>
        </w:tc>
        <w:tc>
          <w:tcPr>
            <w:tcW w:w="41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shd w:val="clear"/>
              <w:jc w:val="left"/>
              <w:textAlignment w:val="center"/>
              <w:rPr>
                <w:rFonts w:hint="eastAsia" w:ascii="宋体" w:hAnsi="宋体" w:eastAsia="宋体" w:cs="宋体"/>
                <w:i w:val="0"/>
                <w:color w:val="auto"/>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YJV-0.6/1-5×4</w:t>
            </w:r>
            <w:r>
              <w:rPr>
                <w:rFonts w:hint="eastAsia" w:ascii="宋体" w:hAnsi="宋体" w:cs="宋体"/>
                <w:i w:val="0"/>
                <w:color w:val="auto"/>
                <w:kern w:val="0"/>
                <w:sz w:val="24"/>
                <w:szCs w:val="24"/>
                <w:highlight w:val="none"/>
                <w:u w:val="none"/>
                <w:lang w:val="en-US" w:eastAsia="zh-CN" w:bidi="ar"/>
              </w:rPr>
              <w:t>敷设(电缆甲供)</w:t>
            </w:r>
          </w:p>
        </w:tc>
        <w:tc>
          <w:tcPr>
            <w:tcW w:w="16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m</w:t>
            </w:r>
          </w:p>
        </w:tc>
        <w:tc>
          <w:tcPr>
            <w:tcW w:w="1501"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916</w:t>
            </w:r>
          </w:p>
        </w:tc>
        <w:tc>
          <w:tcPr>
            <w:tcW w:w="2059"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甲供</w:t>
            </w:r>
          </w:p>
        </w:tc>
      </w:tr>
    </w:tbl>
    <w:p>
      <w:pPr>
        <w:pStyle w:val="2"/>
        <w:shd w:val="clear"/>
        <w:jc w:val="left"/>
        <w:rPr>
          <w:rFonts w:hint="default"/>
          <w:sz w:val="28"/>
          <w:szCs w:val="24"/>
          <w:highlight w:val="none"/>
          <w:lang w:val="en-US" w:eastAsia="zh-CN"/>
        </w:rPr>
        <w:sectPr>
          <w:pgSz w:w="16840" w:h="11907" w:orient="landscape"/>
          <w:pgMar w:top="1134" w:right="1361" w:bottom="1134" w:left="1361" w:header="720" w:footer="720" w:gutter="0"/>
          <w:cols w:space="720" w:num="1"/>
          <w:docGrid w:linePitch="285" w:charSpace="0"/>
        </w:sectPr>
      </w:pPr>
    </w:p>
    <w:p>
      <w:pPr>
        <w:pStyle w:val="2"/>
        <w:shd w:val="clear"/>
        <w:jc w:val="center"/>
        <w:rPr>
          <w:sz w:val="28"/>
          <w:szCs w:val="24"/>
          <w:highlight w:val="none"/>
        </w:rPr>
      </w:pPr>
      <w:r>
        <w:rPr>
          <w:rFonts w:hint="eastAsia"/>
          <w:sz w:val="28"/>
          <w:szCs w:val="24"/>
          <w:highlight w:val="none"/>
        </w:rPr>
        <w:t>投标意向书</w:t>
      </w:r>
    </w:p>
    <w:p>
      <w:pPr>
        <w:shd w:val="clear"/>
        <w:spacing w:line="560" w:lineRule="exact"/>
        <w:ind w:left="960" w:hanging="960" w:hangingChars="400"/>
        <w:rPr>
          <w:rFonts w:ascii="宋体" w:hAnsi="宋体" w:cs="宋体"/>
          <w:sz w:val="24"/>
          <w:highlight w:val="none"/>
        </w:rPr>
      </w:pPr>
    </w:p>
    <w:p>
      <w:pPr>
        <w:shd w:val="clear"/>
        <w:spacing w:line="560" w:lineRule="exact"/>
        <w:ind w:left="960" w:hanging="960" w:hangingChars="400"/>
        <w:rPr>
          <w:rFonts w:ascii="宋体" w:hAnsi="宋体" w:cs="宋体"/>
          <w:sz w:val="24"/>
          <w:highlight w:val="none"/>
        </w:rPr>
      </w:pPr>
      <w:r>
        <w:rPr>
          <w:rFonts w:hint="eastAsia" w:ascii="宋体" w:hAnsi="宋体" w:cs="宋体"/>
          <w:sz w:val="24"/>
          <w:highlight w:val="none"/>
        </w:rPr>
        <w:t>致：石城县恒鑫矿业有限公司</w:t>
      </w:r>
    </w:p>
    <w:p>
      <w:pPr>
        <w:pStyle w:val="2"/>
        <w:shd w:val="clear"/>
        <w:rPr>
          <w:rFonts w:ascii="宋体" w:hAnsi="宋体" w:cs="宋体"/>
          <w:sz w:val="24"/>
          <w:highlight w:val="none"/>
        </w:rPr>
      </w:pPr>
    </w:p>
    <w:p>
      <w:pPr>
        <w:pStyle w:val="2"/>
        <w:shd w:val="clear"/>
        <w:spacing w:line="360" w:lineRule="auto"/>
        <w:ind w:firstLine="480" w:firstLineChars="200"/>
        <w:rPr>
          <w:rFonts w:ascii="宋体" w:hAnsi="宋体" w:cs="宋体"/>
          <w:sz w:val="24"/>
          <w:highlight w:val="none"/>
          <w:u w:val="single"/>
        </w:rPr>
      </w:pPr>
      <w:r>
        <w:rPr>
          <w:rFonts w:hint="eastAsia" w:ascii="宋体" w:hAnsi="宋体" w:cs="宋体"/>
          <w:sz w:val="24"/>
          <w:highlight w:val="none"/>
        </w:rPr>
        <w:t>我公司自愿参与贵公司</w:t>
      </w:r>
      <w:r>
        <w:rPr>
          <w:rFonts w:hint="eastAsia" w:ascii="宋体" w:hAnsi="宋体" w:cs="宋体"/>
          <w:sz w:val="24"/>
          <w:highlight w:val="none"/>
          <w:u w:val="single"/>
        </w:rPr>
        <w:t xml:space="preserve">                    （项目名称及编号）的投标，并作出以下承诺：</w:t>
      </w:r>
    </w:p>
    <w:p>
      <w:pPr>
        <w:shd w:val="clear"/>
        <w:spacing w:line="560" w:lineRule="exact"/>
        <w:ind w:firstLine="240" w:firstLineChars="100"/>
        <w:rPr>
          <w:rFonts w:ascii="宋体" w:hAnsi="宋体" w:cs="宋体"/>
          <w:sz w:val="24"/>
          <w:szCs w:val="24"/>
          <w:highlight w:val="none"/>
        </w:rPr>
      </w:pPr>
      <w:r>
        <w:rPr>
          <w:rFonts w:hint="eastAsia" w:ascii="宋体" w:hAnsi="宋体" w:cs="宋体"/>
          <w:sz w:val="24"/>
          <w:szCs w:val="24"/>
          <w:highlight w:val="none"/>
        </w:rPr>
        <w:t>1.我方具有履行合同所必须的设备和专业技术能力。</w:t>
      </w:r>
    </w:p>
    <w:p>
      <w:pPr>
        <w:shd w:val="clear"/>
        <w:spacing w:line="560" w:lineRule="exact"/>
        <w:ind w:firstLine="240" w:firstLineChars="100"/>
        <w:rPr>
          <w:rFonts w:ascii="宋体" w:hAnsi="宋体" w:cs="宋体"/>
          <w:sz w:val="24"/>
          <w:szCs w:val="24"/>
          <w:highlight w:val="none"/>
        </w:rPr>
      </w:pPr>
      <w:r>
        <w:rPr>
          <w:rFonts w:hint="eastAsia" w:ascii="宋体" w:hAnsi="宋体" w:cs="宋体"/>
          <w:sz w:val="24"/>
          <w:szCs w:val="24"/>
          <w:highlight w:val="none"/>
        </w:rPr>
        <w:t>2.我方在参加本项目前三年内,在经营活动中没有重大违法记录。</w:t>
      </w:r>
    </w:p>
    <w:p>
      <w:pPr>
        <w:shd w:val="clear"/>
        <w:spacing w:line="560" w:lineRule="exact"/>
        <w:ind w:firstLine="240" w:firstLineChars="100"/>
        <w:rPr>
          <w:rFonts w:ascii="宋体" w:hAnsi="宋体" w:cs="宋体"/>
          <w:sz w:val="24"/>
          <w:szCs w:val="24"/>
          <w:highlight w:val="none"/>
        </w:rPr>
      </w:pPr>
      <w:r>
        <w:rPr>
          <w:rFonts w:hint="eastAsia" w:ascii="宋体" w:hAnsi="宋体" w:cs="宋体"/>
          <w:sz w:val="24"/>
          <w:szCs w:val="24"/>
          <w:highlight w:val="none"/>
        </w:rPr>
        <w:t>3.我方在参与本项目投标时所提供的材料真实有效。</w:t>
      </w:r>
    </w:p>
    <w:p>
      <w:pPr>
        <w:shd w:val="clear"/>
        <w:spacing w:line="432" w:lineRule="auto"/>
        <w:rPr>
          <w:rFonts w:ascii="宋体" w:hAnsi="宋体" w:cs="宋体"/>
          <w:sz w:val="24"/>
          <w:highlight w:val="none"/>
        </w:rPr>
      </w:pPr>
    </w:p>
    <w:p>
      <w:pPr>
        <w:shd w:val="clear"/>
        <w:spacing w:line="432" w:lineRule="auto"/>
        <w:rPr>
          <w:rFonts w:ascii="宋体" w:hAnsi="宋体" w:cs="宋体"/>
          <w:sz w:val="24"/>
          <w:highlight w:val="none"/>
        </w:rPr>
      </w:pPr>
    </w:p>
    <w:p>
      <w:pPr>
        <w:shd w:val="clear"/>
        <w:spacing w:line="432" w:lineRule="auto"/>
        <w:rPr>
          <w:rFonts w:ascii="宋体" w:hAnsi="宋体" w:cs="宋体"/>
          <w:sz w:val="24"/>
          <w:highlight w:val="none"/>
        </w:rPr>
      </w:pPr>
      <w:r>
        <w:rPr>
          <w:rFonts w:hint="eastAsia" w:ascii="宋体" w:hAnsi="宋体" w:cs="宋体"/>
          <w:sz w:val="24"/>
          <w:highlight w:val="none"/>
        </w:rPr>
        <w:t>投标人签章</w:t>
      </w:r>
      <w:r>
        <w:rPr>
          <w:rFonts w:hint="eastAsia" w:ascii="宋体" w:hAnsi="宋体" w:cs="宋体"/>
          <w:sz w:val="24"/>
          <w:highlight w:val="none"/>
          <w:u w:val="single"/>
        </w:rPr>
        <w:t xml:space="preserve">                             </w:t>
      </w:r>
    </w:p>
    <w:p>
      <w:pPr>
        <w:shd w:val="clear"/>
        <w:spacing w:line="432" w:lineRule="auto"/>
        <w:rPr>
          <w:rFonts w:ascii="仿宋" w:hAnsi="仿宋" w:eastAsia="仿宋" w:cs="仿宋"/>
          <w:sz w:val="24"/>
          <w:highlight w:val="none"/>
          <w:u w:val="singl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仿宋" w:hAnsi="仿宋" w:eastAsia="仿宋" w:cs="仿宋"/>
          <w:sz w:val="24"/>
          <w:highlight w:val="none"/>
          <w:u w:val="single"/>
        </w:rPr>
        <w:t xml:space="preserve"> </w:t>
      </w:r>
    </w:p>
    <w:p>
      <w:pPr>
        <w:pStyle w:val="36"/>
        <w:shd w:val="clear"/>
        <w:spacing w:after="72"/>
        <w:ind w:firstLine="482"/>
        <w:rPr>
          <w:highlight w:val="none"/>
        </w:rPr>
      </w:pPr>
    </w:p>
    <w:sectPr>
      <w:pgSz w:w="11907" w:h="16840"/>
      <w:pgMar w:top="1361" w:right="1134" w:bottom="1361" w:left="1134"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ms Rmn">
    <w:altName w:val="Times New Roman"/>
    <w:panose1 w:val="02020603040505020304"/>
    <w:charset w:val="00"/>
    <w:family w:val="roman"/>
    <w:pitch w:val="default"/>
    <w:sig w:usb0="00000000" w:usb1="00000000" w:usb2="00000000" w:usb3="00000000" w:csb0="00000001" w:csb1="00000000"/>
  </w:font>
  <w:font w:name="CG Times">
    <w:altName w:val="Times New Roman"/>
    <w:panose1 w:val="00000000000000000000"/>
    <w:charset w:val="00"/>
    <w:family w:val="modern"/>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00000287" w:usb1="00000000" w:usb2="00000000" w:usb3="00000000" w:csb0="2000019F" w:csb1="00000000"/>
  </w:font>
  <w:font w:name="长城仿宋">
    <w:altName w:val="仿宋_GB2312"/>
    <w:panose1 w:val="00000000000000000000"/>
    <w:charset w:val="00"/>
    <w:family w:val="swiss"/>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New York">
    <w:altName w:val="Cambria Math"/>
    <w:panose1 w:val="02040503060506020304"/>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PMingLiU">
    <w:panose1 w:val="02020300000000000000"/>
    <w:charset w:val="88"/>
    <w:family w:val="roman"/>
    <w:pitch w:val="default"/>
    <w:sig w:usb0="00000003" w:usb1="082E0000" w:usb2="00000016" w:usb3="00000000" w:csb0="00100001" w:csb1="00000000"/>
  </w:font>
  <w:font w:name="ˎ̥">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61007A87" w:usb1="80000000" w:usb2="00000008"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MS PGothic">
    <w:panose1 w:val="020B0600070205080204"/>
    <w:charset w:val="80"/>
    <w:family w:val="auto"/>
    <w:pitch w:val="default"/>
    <w:sig w:usb0="A00002BF" w:usb1="68C7FCFB" w:usb2="00000010" w:usb3="00000000" w:csb0="4002009F" w:csb1="DFD7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1"/>
      </w:rPr>
    </w:pPr>
    <w:r>
      <w:fldChar w:fldCharType="begin"/>
    </w:r>
    <w:r>
      <w:rPr>
        <w:rStyle w:val="41"/>
      </w:rPr>
      <w:instrText xml:space="preserve">PAGE  </w:instrText>
    </w:r>
    <w:r>
      <w:fldChar w:fldCharType="separate"/>
    </w:r>
    <w:r>
      <w:rPr>
        <w:rStyle w:val="41"/>
      </w:rPr>
      <w:t>14</w:t>
    </w:r>
    <w:r>
      <w:fldChar w:fldCharType="end"/>
    </w:r>
  </w:p>
  <w:p>
    <w:pPr>
      <w:pStyle w:val="2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1"/>
      </w:rPr>
    </w:pPr>
    <w:r>
      <w:fldChar w:fldCharType="begin"/>
    </w:r>
    <w:r>
      <w:rPr>
        <w:rStyle w:val="41"/>
      </w:rPr>
      <w:instrText xml:space="preserve">PAGE  </w:instrText>
    </w:r>
    <w:r>
      <w:fldChar w:fldCharType="separate"/>
    </w:r>
    <w:r>
      <w:rPr>
        <w:rStyle w:val="41"/>
      </w:rPr>
      <w:t>2</w:t>
    </w:r>
    <w:r>
      <w:fldChar w:fldCharType="end"/>
    </w:r>
  </w:p>
  <w:p>
    <w:pPr>
      <w:pStyle w:val="25"/>
      <w:framePr w:wrap="around" w:vAnchor="text" w:hAnchor="page" w:x="1882" w:y="-388"/>
      <w:ind w:right="360"/>
      <w:jc w:val="center"/>
      <w:rPr>
        <w:rStyle w:val="41"/>
      </w:rPr>
    </w:pPr>
  </w:p>
  <w:p>
    <w:pPr>
      <w:pStyle w:val="25"/>
      <w:framePr w:wrap="around" w:vAnchor="margin" w:hAnchor="text" w:y="-38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B3532"/>
    <w:multiLevelType w:val="singleLevel"/>
    <w:tmpl w:val="911B3532"/>
    <w:lvl w:ilvl="0" w:tentative="0">
      <w:start w:val="1"/>
      <w:numFmt w:val="decimalEnclosedCircleChinese"/>
      <w:suff w:val="nothing"/>
      <w:lvlText w:val="%1　"/>
      <w:lvlJc w:val="left"/>
      <w:pPr>
        <w:ind w:left="0" w:firstLine="400"/>
      </w:pPr>
      <w:rPr>
        <w:rFonts w:hint="eastAsia"/>
      </w:rPr>
    </w:lvl>
  </w:abstractNum>
  <w:abstractNum w:abstractNumId="1">
    <w:nsid w:val="BFDBAB4F"/>
    <w:multiLevelType w:val="singleLevel"/>
    <w:tmpl w:val="BFDBAB4F"/>
    <w:lvl w:ilvl="0" w:tentative="0">
      <w:start w:val="1"/>
      <w:numFmt w:val="decimalEnclosedCircleChinese"/>
      <w:suff w:val="nothing"/>
      <w:lvlText w:val="%1　"/>
      <w:lvlJc w:val="left"/>
      <w:pPr>
        <w:ind w:left="0" w:firstLine="400"/>
      </w:pPr>
      <w:rPr>
        <w:rFonts w:hint="eastAsia"/>
      </w:rPr>
    </w:lvl>
  </w:abstractNum>
  <w:abstractNum w:abstractNumId="2">
    <w:nsid w:val="C370E18E"/>
    <w:multiLevelType w:val="singleLevel"/>
    <w:tmpl w:val="C370E18E"/>
    <w:lvl w:ilvl="0" w:tentative="0">
      <w:start w:val="1"/>
      <w:numFmt w:val="decimal"/>
      <w:suff w:val="nothing"/>
      <w:lvlText w:val="%1、"/>
      <w:lvlJc w:val="left"/>
    </w:lvl>
  </w:abstractNum>
  <w:abstractNum w:abstractNumId="3">
    <w:nsid w:val="00000003"/>
    <w:multiLevelType w:val="multilevel"/>
    <w:tmpl w:val="00000003"/>
    <w:lvl w:ilvl="0" w:tentative="0">
      <w:start w:val="1"/>
      <w:numFmt w:val="japaneseCounting"/>
      <w:lvlText w:val="第%1章"/>
      <w:lvlJc w:val="left"/>
      <w:pPr>
        <w:ind w:left="1290" w:hanging="12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4"/>
    <w:multiLevelType w:val="multilevel"/>
    <w:tmpl w:val="00000004"/>
    <w:lvl w:ilvl="0" w:tentative="0">
      <w:start w:val="15"/>
      <w:numFmt w:val="decimal"/>
      <w:lvlText w:val="%1"/>
      <w:lvlJc w:val="left"/>
      <w:pPr>
        <w:ind w:left="720" w:hanging="720"/>
      </w:pPr>
      <w:rPr>
        <w:rFonts w:hint="default"/>
      </w:rPr>
    </w:lvl>
    <w:lvl w:ilvl="1" w:tentative="0">
      <w:start w:val="8"/>
      <w:numFmt w:val="decimal"/>
      <w:lvlText w:val="%1.%2"/>
      <w:lvlJc w:val="left"/>
      <w:pPr>
        <w:ind w:left="720" w:hanging="720"/>
      </w:pPr>
      <w:rPr>
        <w:rFonts w:hint="default"/>
      </w:rPr>
    </w:lvl>
    <w:lvl w:ilvl="2" w:tentative="0">
      <w:start w:val="23"/>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00000007"/>
    <w:multiLevelType w:val="multilevel"/>
    <w:tmpl w:val="00000007"/>
    <w:lvl w:ilvl="0" w:tentative="0">
      <w:start w:val="15"/>
      <w:numFmt w:val="decimal"/>
      <w:lvlText w:val="%1"/>
      <w:lvlJc w:val="left"/>
      <w:pPr>
        <w:ind w:left="600" w:hanging="600"/>
      </w:pPr>
      <w:rPr>
        <w:rFonts w:hint="default"/>
      </w:rPr>
    </w:lvl>
    <w:lvl w:ilvl="1" w:tentative="0">
      <w:start w:val="8"/>
      <w:numFmt w:val="decimal"/>
      <w:lvlText w:val="%1.%2"/>
      <w:lvlJc w:val="left"/>
      <w:pPr>
        <w:ind w:left="600" w:hanging="60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0000000B"/>
    <w:multiLevelType w:val="multilevel"/>
    <w:tmpl w:val="0000000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rPr>
        <w:rFonts w:ascii="楷体_GB2312" w:hAnsi="Times New Roman" w:eastAsia="楷体_GB2312" w:cs="Times New Roman"/>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0000000F"/>
    <w:multiLevelType w:val="multilevel"/>
    <w:tmpl w:val="0000000F"/>
    <w:lvl w:ilvl="0" w:tentative="0">
      <w:start w:val="1"/>
      <w:numFmt w:val="chineseCountingThousand"/>
      <w:lvlText w:val="第%1章"/>
      <w:lvlJc w:val="left"/>
      <w:pPr>
        <w:tabs>
          <w:tab w:val="left" w:pos="1534"/>
        </w:tabs>
        <w:ind w:left="454" w:firstLine="0"/>
      </w:pPr>
      <w:rPr>
        <w:rFonts w:hint="eastAsia"/>
      </w:rPr>
    </w:lvl>
    <w:lvl w:ilvl="1" w:tentative="0">
      <w:start w:val="1"/>
      <w:numFmt w:val="decimal"/>
      <w:pStyle w:val="62"/>
      <w:isLgl/>
      <w:lvlText w:val="附录%1.%2. "/>
      <w:lvlJc w:val="left"/>
      <w:pPr>
        <w:tabs>
          <w:tab w:val="left" w:pos="2254"/>
        </w:tabs>
        <w:ind w:left="454" w:firstLine="0"/>
      </w:pPr>
      <w:rPr>
        <w:rFonts w:hint="eastAsia"/>
      </w:rPr>
    </w:lvl>
    <w:lvl w:ilvl="2" w:tentative="0">
      <w:start w:val="1"/>
      <w:numFmt w:val="decimal"/>
      <w:isLgl/>
      <w:lvlText w:val="%1.%2.%3"/>
      <w:lvlJc w:val="left"/>
      <w:pPr>
        <w:tabs>
          <w:tab w:val="left" w:pos="1174"/>
        </w:tabs>
        <w:ind w:left="454" w:firstLine="0"/>
      </w:pPr>
      <w:rPr>
        <w:rFonts w:hint="eastAsia"/>
      </w:rPr>
    </w:lvl>
    <w:lvl w:ilvl="3" w:tentative="0">
      <w:start w:val="1"/>
      <w:numFmt w:val="decimal"/>
      <w:isLgl/>
      <w:lvlText w:val="%1.%2.%3.%4"/>
      <w:lvlJc w:val="left"/>
      <w:pPr>
        <w:tabs>
          <w:tab w:val="left" w:pos="1647"/>
        </w:tabs>
        <w:ind w:left="567" w:firstLine="0"/>
      </w:pPr>
      <w:rPr>
        <w:rFonts w:hint="eastAsia"/>
      </w:rPr>
    </w:lvl>
    <w:lvl w:ilvl="4" w:tentative="0">
      <w:start w:val="1"/>
      <w:numFmt w:val="decimal"/>
      <w:isLgl/>
      <w:lvlText w:val="%1.%2.%3.%4.%5"/>
      <w:lvlJc w:val="left"/>
      <w:pPr>
        <w:tabs>
          <w:tab w:val="left" w:pos="2120"/>
        </w:tabs>
        <w:ind w:left="680" w:firstLine="0"/>
      </w:pPr>
      <w:rPr>
        <w:rFonts w:hint="eastAsia"/>
      </w:rPr>
    </w:lvl>
    <w:lvl w:ilvl="5" w:tentative="0">
      <w:start w:val="1"/>
      <w:numFmt w:val="decimal"/>
      <w:isLgl/>
      <w:lvlText w:val="%1.%2.%3.%4.%5.%6"/>
      <w:lvlJc w:val="left"/>
      <w:pPr>
        <w:tabs>
          <w:tab w:val="left" w:pos="2594"/>
        </w:tabs>
        <w:ind w:left="794" w:firstLine="0"/>
      </w:pPr>
      <w:rPr>
        <w:rFonts w:hint="eastAsia"/>
      </w:rPr>
    </w:lvl>
    <w:lvl w:ilvl="6" w:tentative="0">
      <w:start w:val="1"/>
      <w:numFmt w:val="decimal"/>
      <w:isLgl/>
      <w:lvlText w:val="%1.%2.%3.%4.%5.%6.%7"/>
      <w:lvlJc w:val="left"/>
      <w:pPr>
        <w:tabs>
          <w:tab w:val="left" w:pos="2254"/>
        </w:tabs>
        <w:ind w:left="1750" w:hanging="1296"/>
      </w:pPr>
      <w:rPr>
        <w:rFonts w:hint="eastAsia"/>
      </w:rPr>
    </w:lvl>
    <w:lvl w:ilvl="7" w:tentative="0">
      <w:start w:val="1"/>
      <w:numFmt w:val="decimal"/>
      <w:isLgl/>
      <w:lvlText w:val="%1.%2.%3.%4.%5.%6.%7.%8"/>
      <w:lvlJc w:val="left"/>
      <w:pPr>
        <w:tabs>
          <w:tab w:val="left" w:pos="2614"/>
        </w:tabs>
        <w:ind w:left="1894" w:hanging="1440"/>
      </w:pPr>
      <w:rPr>
        <w:rFonts w:hint="eastAsia"/>
      </w:rPr>
    </w:lvl>
    <w:lvl w:ilvl="8" w:tentative="0">
      <w:start w:val="1"/>
      <w:numFmt w:val="decimal"/>
      <w:isLgl/>
      <w:lvlText w:val="%1.%2.%3.%4.%5.%6.%7.%8.%9"/>
      <w:lvlJc w:val="left"/>
      <w:pPr>
        <w:tabs>
          <w:tab w:val="left" w:pos="2974"/>
        </w:tabs>
        <w:ind w:left="2038" w:hanging="1584"/>
      </w:pPr>
      <w:rPr>
        <w:rFonts w:hint="eastAsia"/>
      </w:rPr>
    </w:lvl>
  </w:abstractNum>
  <w:abstractNum w:abstractNumId="8">
    <w:nsid w:val="00000011"/>
    <w:multiLevelType w:val="multilevel"/>
    <w:tmpl w:val="00000011"/>
    <w:lvl w:ilvl="0" w:tentative="0">
      <w:start w:val="1"/>
      <w:numFmt w:val="chineseCountingThousand"/>
      <w:pStyle w:val="111"/>
      <w:lvlText w:val="第%1章"/>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eastAsia"/>
      </w:rPr>
    </w:lvl>
    <w:lvl w:ilvl="2" w:tentative="0">
      <w:start w:val="1"/>
      <w:numFmt w:val="decimal"/>
      <w:pStyle w:val="101"/>
      <w:lvlText w:val="%2.%3."/>
      <w:lvlJc w:val="left"/>
      <w:pPr>
        <w:tabs>
          <w:tab w:val="left" w:pos="709"/>
        </w:tabs>
        <w:ind w:left="709" w:hanging="709"/>
      </w:pPr>
      <w:rPr>
        <w:rFonts w:hint="eastAsia"/>
      </w:rPr>
    </w:lvl>
    <w:lvl w:ilvl="3" w:tentative="0">
      <w:start w:val="1"/>
      <w:numFmt w:val="decimal"/>
      <w:pStyle w:val="119"/>
      <w:lvlText w:val="%2.%3.%4."/>
      <w:lvlJc w:val="left"/>
      <w:pPr>
        <w:tabs>
          <w:tab w:val="left" w:pos="851"/>
        </w:tabs>
        <w:ind w:left="851" w:hanging="851"/>
      </w:pPr>
      <w:rPr>
        <w:rFonts w:hint="eastAsia"/>
      </w:rPr>
    </w:lvl>
    <w:lvl w:ilvl="4" w:tentative="0">
      <w:start w:val="1"/>
      <w:numFmt w:val="decimal"/>
      <w:lvlText w:val="（%5）."/>
      <w:lvlJc w:val="left"/>
      <w:pPr>
        <w:tabs>
          <w:tab w:val="left" w:pos="992"/>
        </w:tabs>
        <w:ind w:left="992" w:hanging="992"/>
      </w:pPr>
      <w:rPr>
        <w:rFonts w:hint="eastAsia"/>
      </w:rPr>
    </w:lvl>
    <w:lvl w:ilvl="5" w:tentative="0">
      <w:start w:val="1"/>
      <w:numFmt w:val="decimal"/>
      <w:pStyle w:val="70"/>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0000012"/>
    <w:multiLevelType w:val="multilevel"/>
    <w:tmpl w:val="00000012"/>
    <w:lvl w:ilvl="0" w:tentative="0">
      <w:start w:val="1"/>
      <w:numFmt w:val="chineseCountingThousand"/>
      <w:suff w:val="nothing"/>
      <w:lvlText w:val="第%1部分"/>
      <w:lvlJc w:val="left"/>
      <w:rPr>
        <w:rFonts w:hint="eastAsia" w:ascii="黑体" w:eastAsia="黑体"/>
        <w:sz w:val="32"/>
      </w:rPr>
    </w:lvl>
    <w:lvl w:ilvl="1" w:tentative="0">
      <w:start w:val="1"/>
      <w:numFmt w:val="upperLetter"/>
      <w:suff w:val="nothing"/>
      <w:lvlText w:val="%2"/>
      <w:lvlJc w:val="left"/>
      <w:rPr>
        <w:rFonts w:hint="default" w:ascii="CG Times" w:hAnsi="CG Times"/>
        <w:b/>
        <w:i w:val="0"/>
        <w:sz w:val="28"/>
      </w:rPr>
    </w:lvl>
    <w:lvl w:ilvl="2" w:tentative="0">
      <w:start w:val="1"/>
      <w:numFmt w:val="decimal"/>
      <w:lvlRestart w:val="0"/>
      <w:suff w:val="nothing"/>
      <w:lvlText w:val="%3"/>
      <w:lvlJc w:val="left"/>
      <w:rPr>
        <w:rFonts w:hint="eastAsia" w:ascii="宋体" w:eastAsia="宋体"/>
        <w:b/>
        <w:i w:val="0"/>
        <w:sz w:val="28"/>
      </w:rPr>
    </w:lvl>
    <w:lvl w:ilvl="3" w:tentative="0">
      <w:start w:val="1"/>
      <w:numFmt w:val="none"/>
      <w:pStyle w:val="6"/>
      <w:suff w:val="nothing"/>
      <w:lvlText w:val=""/>
      <w:lvlJc w:val="left"/>
      <w:rPr>
        <w:rFonts w:hint="eastAsia"/>
      </w:rPr>
    </w:lvl>
    <w:lvl w:ilvl="4" w:tentative="0">
      <w:start w:val="1"/>
      <w:numFmt w:val="none"/>
      <w:pStyle w:val="8"/>
      <w:suff w:val="nothing"/>
      <w:lvlText w:val=""/>
      <w:lvlJc w:val="left"/>
      <w:rPr>
        <w:rFonts w:hint="eastAsia"/>
      </w:rPr>
    </w:lvl>
    <w:lvl w:ilvl="5" w:tentative="0">
      <w:start w:val="1"/>
      <w:numFmt w:val="none"/>
      <w:pStyle w:val="9"/>
      <w:suff w:val="nothing"/>
      <w:lvlText w:val=""/>
      <w:lvlJc w:val="left"/>
      <w:rPr>
        <w:rFonts w:hint="eastAsia"/>
      </w:rPr>
    </w:lvl>
    <w:lvl w:ilvl="6" w:tentative="0">
      <w:start w:val="1"/>
      <w:numFmt w:val="none"/>
      <w:pStyle w:val="10"/>
      <w:suff w:val="nothing"/>
      <w:lvlText w:val=""/>
      <w:lvlJc w:val="left"/>
      <w:rPr>
        <w:rFonts w:hint="eastAsia"/>
      </w:rPr>
    </w:lvl>
    <w:lvl w:ilvl="7" w:tentative="0">
      <w:start w:val="1"/>
      <w:numFmt w:val="none"/>
      <w:pStyle w:val="11"/>
      <w:suff w:val="nothing"/>
      <w:lvlText w:val=""/>
      <w:lvlJc w:val="left"/>
      <w:rPr>
        <w:rFonts w:hint="eastAsia"/>
      </w:rPr>
    </w:lvl>
    <w:lvl w:ilvl="8" w:tentative="0">
      <w:start w:val="1"/>
      <w:numFmt w:val="none"/>
      <w:pStyle w:val="12"/>
      <w:suff w:val="nothing"/>
      <w:lvlText w:val=""/>
      <w:lvlJc w:val="left"/>
      <w:rPr>
        <w:rFonts w:hint="eastAsia"/>
      </w:rPr>
    </w:lvl>
  </w:abstractNum>
  <w:abstractNum w:abstractNumId="10">
    <w:nsid w:val="482DCFA8"/>
    <w:multiLevelType w:val="singleLevel"/>
    <w:tmpl w:val="482DCFA8"/>
    <w:lvl w:ilvl="0" w:tentative="0">
      <w:start w:val="4"/>
      <w:numFmt w:val="chineseCounting"/>
      <w:suff w:val="nothing"/>
      <w:lvlText w:val="%1、"/>
      <w:lvlJc w:val="left"/>
      <w:rPr>
        <w:rFonts w:hint="eastAsia"/>
      </w:rPr>
    </w:lvl>
  </w:abstractNum>
  <w:abstractNum w:abstractNumId="11">
    <w:nsid w:val="621A4330"/>
    <w:multiLevelType w:val="multilevel"/>
    <w:tmpl w:val="621A433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C6A32B0"/>
    <w:multiLevelType w:val="singleLevel"/>
    <w:tmpl w:val="6C6A32B0"/>
    <w:lvl w:ilvl="0" w:tentative="0">
      <w:start w:val="2"/>
      <w:numFmt w:val="decimal"/>
      <w:suff w:val="nothing"/>
      <w:lvlText w:val="%1、"/>
      <w:lvlJc w:val="left"/>
    </w:lvl>
  </w:abstractNum>
  <w:num w:numId="1">
    <w:abstractNumId w:val="9"/>
  </w:num>
  <w:num w:numId="2">
    <w:abstractNumId w:val="7"/>
  </w:num>
  <w:num w:numId="3">
    <w:abstractNumId w:val="8"/>
  </w:num>
  <w:num w:numId="4">
    <w:abstractNumId w:val="3"/>
  </w:num>
  <w:num w:numId="5">
    <w:abstractNumId w:val="11"/>
  </w:num>
  <w:num w:numId="6">
    <w:abstractNumId w:val="1"/>
  </w:num>
  <w:num w:numId="7">
    <w:abstractNumId w:val="10"/>
  </w:num>
  <w:num w:numId="8">
    <w:abstractNumId w:val="5"/>
  </w:num>
  <w:num w:numId="9">
    <w:abstractNumId w:val="4"/>
  </w:num>
  <w:num w:numId="10">
    <w:abstractNumId w:val="0"/>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859FB"/>
    <w:rsid w:val="00007E9F"/>
    <w:rsid w:val="000177D4"/>
    <w:rsid w:val="00037F6C"/>
    <w:rsid w:val="000520D3"/>
    <w:rsid w:val="00075A59"/>
    <w:rsid w:val="00086433"/>
    <w:rsid w:val="000869C4"/>
    <w:rsid w:val="0009798A"/>
    <w:rsid w:val="000B4637"/>
    <w:rsid w:val="000E26FE"/>
    <w:rsid w:val="000F3895"/>
    <w:rsid w:val="00101D18"/>
    <w:rsid w:val="00130888"/>
    <w:rsid w:val="0013140A"/>
    <w:rsid w:val="001478DC"/>
    <w:rsid w:val="00197706"/>
    <w:rsid w:val="001B033B"/>
    <w:rsid w:val="001C149F"/>
    <w:rsid w:val="001C4B62"/>
    <w:rsid w:val="001C5795"/>
    <w:rsid w:val="001E35DD"/>
    <w:rsid w:val="002236A2"/>
    <w:rsid w:val="0022430B"/>
    <w:rsid w:val="00235858"/>
    <w:rsid w:val="00255162"/>
    <w:rsid w:val="002613D2"/>
    <w:rsid w:val="00277972"/>
    <w:rsid w:val="00280A6F"/>
    <w:rsid w:val="002C638D"/>
    <w:rsid w:val="002D1E92"/>
    <w:rsid w:val="002E2FCA"/>
    <w:rsid w:val="002F22E7"/>
    <w:rsid w:val="00314ABE"/>
    <w:rsid w:val="00316A27"/>
    <w:rsid w:val="00325912"/>
    <w:rsid w:val="003357AF"/>
    <w:rsid w:val="00354B55"/>
    <w:rsid w:val="00380594"/>
    <w:rsid w:val="0039624C"/>
    <w:rsid w:val="003B304B"/>
    <w:rsid w:val="003C101A"/>
    <w:rsid w:val="003C23C0"/>
    <w:rsid w:val="003C375A"/>
    <w:rsid w:val="003C4982"/>
    <w:rsid w:val="003E2BC8"/>
    <w:rsid w:val="00404433"/>
    <w:rsid w:val="00414BC1"/>
    <w:rsid w:val="00421050"/>
    <w:rsid w:val="004239BB"/>
    <w:rsid w:val="0044685C"/>
    <w:rsid w:val="00450B8C"/>
    <w:rsid w:val="004623DE"/>
    <w:rsid w:val="00464925"/>
    <w:rsid w:val="00487440"/>
    <w:rsid w:val="004937E6"/>
    <w:rsid w:val="004D7EEA"/>
    <w:rsid w:val="004F1122"/>
    <w:rsid w:val="004F705B"/>
    <w:rsid w:val="005031D2"/>
    <w:rsid w:val="00506E4D"/>
    <w:rsid w:val="00525E7B"/>
    <w:rsid w:val="0052680A"/>
    <w:rsid w:val="00533357"/>
    <w:rsid w:val="005527AB"/>
    <w:rsid w:val="00562772"/>
    <w:rsid w:val="00565EA8"/>
    <w:rsid w:val="005717DB"/>
    <w:rsid w:val="00577878"/>
    <w:rsid w:val="0059338C"/>
    <w:rsid w:val="00593C11"/>
    <w:rsid w:val="00595BF2"/>
    <w:rsid w:val="005B0C28"/>
    <w:rsid w:val="005B24FA"/>
    <w:rsid w:val="005C2CC0"/>
    <w:rsid w:val="005D0A05"/>
    <w:rsid w:val="005F0ECC"/>
    <w:rsid w:val="005F40F5"/>
    <w:rsid w:val="00614374"/>
    <w:rsid w:val="00642873"/>
    <w:rsid w:val="00652332"/>
    <w:rsid w:val="00671FAA"/>
    <w:rsid w:val="00686F17"/>
    <w:rsid w:val="0069131D"/>
    <w:rsid w:val="006D3C39"/>
    <w:rsid w:val="006D63CF"/>
    <w:rsid w:val="006F5F0C"/>
    <w:rsid w:val="00703923"/>
    <w:rsid w:val="00704FC6"/>
    <w:rsid w:val="0072392A"/>
    <w:rsid w:val="0072429A"/>
    <w:rsid w:val="007336B0"/>
    <w:rsid w:val="00744FB6"/>
    <w:rsid w:val="007522A1"/>
    <w:rsid w:val="00765841"/>
    <w:rsid w:val="00787052"/>
    <w:rsid w:val="00791C51"/>
    <w:rsid w:val="007A1A49"/>
    <w:rsid w:val="007A4577"/>
    <w:rsid w:val="007C2135"/>
    <w:rsid w:val="007E65CC"/>
    <w:rsid w:val="007F496D"/>
    <w:rsid w:val="00800183"/>
    <w:rsid w:val="00801D0B"/>
    <w:rsid w:val="00814C11"/>
    <w:rsid w:val="00853A60"/>
    <w:rsid w:val="00864204"/>
    <w:rsid w:val="00864BCE"/>
    <w:rsid w:val="0088402B"/>
    <w:rsid w:val="00884EC2"/>
    <w:rsid w:val="00885012"/>
    <w:rsid w:val="00887A09"/>
    <w:rsid w:val="008A4DB9"/>
    <w:rsid w:val="008E414A"/>
    <w:rsid w:val="008E78F3"/>
    <w:rsid w:val="008F6EDC"/>
    <w:rsid w:val="008F73A1"/>
    <w:rsid w:val="00902E0B"/>
    <w:rsid w:val="00903DD8"/>
    <w:rsid w:val="0092611C"/>
    <w:rsid w:val="00926BED"/>
    <w:rsid w:val="00950A19"/>
    <w:rsid w:val="009653A9"/>
    <w:rsid w:val="009B4505"/>
    <w:rsid w:val="009C11E3"/>
    <w:rsid w:val="009C1A00"/>
    <w:rsid w:val="009C273E"/>
    <w:rsid w:val="009C4838"/>
    <w:rsid w:val="009E6AD6"/>
    <w:rsid w:val="009F51C2"/>
    <w:rsid w:val="009F6026"/>
    <w:rsid w:val="00A01BF5"/>
    <w:rsid w:val="00A04431"/>
    <w:rsid w:val="00A05E1D"/>
    <w:rsid w:val="00A15066"/>
    <w:rsid w:val="00A219FE"/>
    <w:rsid w:val="00A425C1"/>
    <w:rsid w:val="00A65463"/>
    <w:rsid w:val="00AB0715"/>
    <w:rsid w:val="00AC0699"/>
    <w:rsid w:val="00AC2C77"/>
    <w:rsid w:val="00AE4AB9"/>
    <w:rsid w:val="00AF0504"/>
    <w:rsid w:val="00AF3A51"/>
    <w:rsid w:val="00B14C28"/>
    <w:rsid w:val="00B2746A"/>
    <w:rsid w:val="00B46368"/>
    <w:rsid w:val="00B91624"/>
    <w:rsid w:val="00BA40F3"/>
    <w:rsid w:val="00BB0987"/>
    <w:rsid w:val="00C21A44"/>
    <w:rsid w:val="00C50AFE"/>
    <w:rsid w:val="00C62D39"/>
    <w:rsid w:val="00C74A5F"/>
    <w:rsid w:val="00CB3832"/>
    <w:rsid w:val="00CE28AB"/>
    <w:rsid w:val="00CE4421"/>
    <w:rsid w:val="00CF2764"/>
    <w:rsid w:val="00D1077E"/>
    <w:rsid w:val="00D16B7A"/>
    <w:rsid w:val="00D2517F"/>
    <w:rsid w:val="00D302C8"/>
    <w:rsid w:val="00D368C6"/>
    <w:rsid w:val="00D52974"/>
    <w:rsid w:val="00D6481E"/>
    <w:rsid w:val="00D73015"/>
    <w:rsid w:val="00D81A08"/>
    <w:rsid w:val="00D83901"/>
    <w:rsid w:val="00D92F8D"/>
    <w:rsid w:val="00D94D35"/>
    <w:rsid w:val="00DA29D8"/>
    <w:rsid w:val="00DB01B5"/>
    <w:rsid w:val="00DB187B"/>
    <w:rsid w:val="00DB771F"/>
    <w:rsid w:val="00DB7BCD"/>
    <w:rsid w:val="00DD43A6"/>
    <w:rsid w:val="00DE12FC"/>
    <w:rsid w:val="00DF778D"/>
    <w:rsid w:val="00E119DB"/>
    <w:rsid w:val="00E24E3B"/>
    <w:rsid w:val="00E24F27"/>
    <w:rsid w:val="00E352BA"/>
    <w:rsid w:val="00E41EB4"/>
    <w:rsid w:val="00E5258E"/>
    <w:rsid w:val="00E614FC"/>
    <w:rsid w:val="00E67289"/>
    <w:rsid w:val="00E8718C"/>
    <w:rsid w:val="00E94EF4"/>
    <w:rsid w:val="00E96618"/>
    <w:rsid w:val="00EA0CB4"/>
    <w:rsid w:val="00EA3E49"/>
    <w:rsid w:val="00EA57D8"/>
    <w:rsid w:val="00EB2AAE"/>
    <w:rsid w:val="00EE77EF"/>
    <w:rsid w:val="00EF6FB3"/>
    <w:rsid w:val="00F133D7"/>
    <w:rsid w:val="00F15EAC"/>
    <w:rsid w:val="00F1796B"/>
    <w:rsid w:val="00F53683"/>
    <w:rsid w:val="00F60B6E"/>
    <w:rsid w:val="00FA0806"/>
    <w:rsid w:val="00FB7577"/>
    <w:rsid w:val="00FC56F9"/>
    <w:rsid w:val="00FF2415"/>
    <w:rsid w:val="01700CCF"/>
    <w:rsid w:val="01704798"/>
    <w:rsid w:val="017923F2"/>
    <w:rsid w:val="01A447B5"/>
    <w:rsid w:val="01D93FA2"/>
    <w:rsid w:val="01E25148"/>
    <w:rsid w:val="024031F8"/>
    <w:rsid w:val="029B491F"/>
    <w:rsid w:val="029D14F5"/>
    <w:rsid w:val="038419C1"/>
    <w:rsid w:val="03B12D89"/>
    <w:rsid w:val="03F43ABA"/>
    <w:rsid w:val="044618D9"/>
    <w:rsid w:val="04464DCC"/>
    <w:rsid w:val="04564EFD"/>
    <w:rsid w:val="0496456B"/>
    <w:rsid w:val="04A415F6"/>
    <w:rsid w:val="04D17241"/>
    <w:rsid w:val="05417DF7"/>
    <w:rsid w:val="057823A8"/>
    <w:rsid w:val="058D7855"/>
    <w:rsid w:val="05B6014D"/>
    <w:rsid w:val="0641014B"/>
    <w:rsid w:val="06571D71"/>
    <w:rsid w:val="067062B4"/>
    <w:rsid w:val="06FC76F6"/>
    <w:rsid w:val="073F05EB"/>
    <w:rsid w:val="073F7B2E"/>
    <w:rsid w:val="07DE39E5"/>
    <w:rsid w:val="0857430D"/>
    <w:rsid w:val="0898011D"/>
    <w:rsid w:val="08EA1D58"/>
    <w:rsid w:val="096A3ABB"/>
    <w:rsid w:val="098A33CE"/>
    <w:rsid w:val="098C4417"/>
    <w:rsid w:val="099B0F0D"/>
    <w:rsid w:val="09C14465"/>
    <w:rsid w:val="09F05131"/>
    <w:rsid w:val="09F73C3E"/>
    <w:rsid w:val="09FF152D"/>
    <w:rsid w:val="0A2F60B8"/>
    <w:rsid w:val="0A464B03"/>
    <w:rsid w:val="0A6719AA"/>
    <w:rsid w:val="0A980C1A"/>
    <w:rsid w:val="0AFB5C3D"/>
    <w:rsid w:val="0AFF656B"/>
    <w:rsid w:val="0B0260F4"/>
    <w:rsid w:val="0B102C9B"/>
    <w:rsid w:val="0B3F220B"/>
    <w:rsid w:val="0B5206A8"/>
    <w:rsid w:val="0B71094A"/>
    <w:rsid w:val="0BCB43CD"/>
    <w:rsid w:val="0BDB23E6"/>
    <w:rsid w:val="0BE96F7E"/>
    <w:rsid w:val="0BFE3D03"/>
    <w:rsid w:val="0C312516"/>
    <w:rsid w:val="0CCE07C3"/>
    <w:rsid w:val="0CEB1A74"/>
    <w:rsid w:val="0DC76260"/>
    <w:rsid w:val="0DDA2616"/>
    <w:rsid w:val="0DDD177B"/>
    <w:rsid w:val="0DEE710D"/>
    <w:rsid w:val="0E060404"/>
    <w:rsid w:val="0E1601C1"/>
    <w:rsid w:val="0E1771CF"/>
    <w:rsid w:val="0EBF39E9"/>
    <w:rsid w:val="0F07793B"/>
    <w:rsid w:val="0F522E33"/>
    <w:rsid w:val="0FC80F08"/>
    <w:rsid w:val="101D0976"/>
    <w:rsid w:val="105A59A6"/>
    <w:rsid w:val="10B2478B"/>
    <w:rsid w:val="10D7006E"/>
    <w:rsid w:val="11B56E9E"/>
    <w:rsid w:val="11C05ED6"/>
    <w:rsid w:val="125F7EC6"/>
    <w:rsid w:val="1262487B"/>
    <w:rsid w:val="13500ACD"/>
    <w:rsid w:val="13786492"/>
    <w:rsid w:val="138F431F"/>
    <w:rsid w:val="13B26934"/>
    <w:rsid w:val="142B449F"/>
    <w:rsid w:val="1434778E"/>
    <w:rsid w:val="14ED32DF"/>
    <w:rsid w:val="158E3F01"/>
    <w:rsid w:val="15D76F03"/>
    <w:rsid w:val="160511ED"/>
    <w:rsid w:val="16676B59"/>
    <w:rsid w:val="17A45E5A"/>
    <w:rsid w:val="17D579EA"/>
    <w:rsid w:val="18D53807"/>
    <w:rsid w:val="19841553"/>
    <w:rsid w:val="199B6384"/>
    <w:rsid w:val="19F378C0"/>
    <w:rsid w:val="1A102891"/>
    <w:rsid w:val="1A224AF8"/>
    <w:rsid w:val="1A32544D"/>
    <w:rsid w:val="1A6E040B"/>
    <w:rsid w:val="1A896D08"/>
    <w:rsid w:val="1AA35683"/>
    <w:rsid w:val="1AA517A3"/>
    <w:rsid w:val="1AF736E1"/>
    <w:rsid w:val="1C1C4F9A"/>
    <w:rsid w:val="1CB578F9"/>
    <w:rsid w:val="1D052E57"/>
    <w:rsid w:val="1D53185C"/>
    <w:rsid w:val="1D9F45E3"/>
    <w:rsid w:val="1E0F6900"/>
    <w:rsid w:val="1E342111"/>
    <w:rsid w:val="1EFA362C"/>
    <w:rsid w:val="1EFE6A87"/>
    <w:rsid w:val="1F424456"/>
    <w:rsid w:val="1FA962E3"/>
    <w:rsid w:val="1FAD65C8"/>
    <w:rsid w:val="20155970"/>
    <w:rsid w:val="20245944"/>
    <w:rsid w:val="205C2542"/>
    <w:rsid w:val="2181188C"/>
    <w:rsid w:val="21A92544"/>
    <w:rsid w:val="21E96880"/>
    <w:rsid w:val="230048B6"/>
    <w:rsid w:val="23511829"/>
    <w:rsid w:val="23591952"/>
    <w:rsid w:val="23867C78"/>
    <w:rsid w:val="239307CA"/>
    <w:rsid w:val="23C10029"/>
    <w:rsid w:val="23D27DF6"/>
    <w:rsid w:val="23E46560"/>
    <w:rsid w:val="23ED0E54"/>
    <w:rsid w:val="23F826E0"/>
    <w:rsid w:val="24085B8D"/>
    <w:rsid w:val="24374D26"/>
    <w:rsid w:val="24911B6E"/>
    <w:rsid w:val="249442B9"/>
    <w:rsid w:val="24D12223"/>
    <w:rsid w:val="252363D2"/>
    <w:rsid w:val="25461C24"/>
    <w:rsid w:val="2589117C"/>
    <w:rsid w:val="26221E77"/>
    <w:rsid w:val="26691B67"/>
    <w:rsid w:val="26731712"/>
    <w:rsid w:val="26A97650"/>
    <w:rsid w:val="26B2324C"/>
    <w:rsid w:val="26B40394"/>
    <w:rsid w:val="26DC481C"/>
    <w:rsid w:val="27173B48"/>
    <w:rsid w:val="271966CC"/>
    <w:rsid w:val="272E34E6"/>
    <w:rsid w:val="27314806"/>
    <w:rsid w:val="273E73A3"/>
    <w:rsid w:val="274568B9"/>
    <w:rsid w:val="27C94D69"/>
    <w:rsid w:val="281B7E17"/>
    <w:rsid w:val="286731BB"/>
    <w:rsid w:val="288321D6"/>
    <w:rsid w:val="28BA1519"/>
    <w:rsid w:val="28BE5A7E"/>
    <w:rsid w:val="2914398C"/>
    <w:rsid w:val="291F4DE8"/>
    <w:rsid w:val="292B429D"/>
    <w:rsid w:val="29A65360"/>
    <w:rsid w:val="29F950D7"/>
    <w:rsid w:val="2A41065C"/>
    <w:rsid w:val="2A9705D2"/>
    <w:rsid w:val="2AFC3CB9"/>
    <w:rsid w:val="2B02245C"/>
    <w:rsid w:val="2B2006B6"/>
    <w:rsid w:val="2B5F216B"/>
    <w:rsid w:val="2B673401"/>
    <w:rsid w:val="2B717ED4"/>
    <w:rsid w:val="2C012FD4"/>
    <w:rsid w:val="2C231776"/>
    <w:rsid w:val="2C856052"/>
    <w:rsid w:val="2CA645A4"/>
    <w:rsid w:val="2CF21CA9"/>
    <w:rsid w:val="2D15658B"/>
    <w:rsid w:val="2D6D22CD"/>
    <w:rsid w:val="2D721B07"/>
    <w:rsid w:val="2D8B5F9D"/>
    <w:rsid w:val="2DA878C4"/>
    <w:rsid w:val="2E3E5ACE"/>
    <w:rsid w:val="2EA270C1"/>
    <w:rsid w:val="2ECF53FB"/>
    <w:rsid w:val="2F6F58F0"/>
    <w:rsid w:val="2FBE67E6"/>
    <w:rsid w:val="2FDB4B70"/>
    <w:rsid w:val="30045182"/>
    <w:rsid w:val="305A6374"/>
    <w:rsid w:val="30D129CB"/>
    <w:rsid w:val="315C1C84"/>
    <w:rsid w:val="31AB711F"/>
    <w:rsid w:val="323D476F"/>
    <w:rsid w:val="32401046"/>
    <w:rsid w:val="324E6915"/>
    <w:rsid w:val="328E298D"/>
    <w:rsid w:val="32996D64"/>
    <w:rsid w:val="32E838C2"/>
    <w:rsid w:val="32EC4743"/>
    <w:rsid w:val="33246FE8"/>
    <w:rsid w:val="33466FE1"/>
    <w:rsid w:val="33903286"/>
    <w:rsid w:val="33A64BC2"/>
    <w:rsid w:val="33BE7C9C"/>
    <w:rsid w:val="34067D9C"/>
    <w:rsid w:val="34091F29"/>
    <w:rsid w:val="346D664F"/>
    <w:rsid w:val="34DD2ABD"/>
    <w:rsid w:val="351770D1"/>
    <w:rsid w:val="355D3F16"/>
    <w:rsid w:val="35B2697D"/>
    <w:rsid w:val="36000359"/>
    <w:rsid w:val="36A90B56"/>
    <w:rsid w:val="36FA1122"/>
    <w:rsid w:val="37703602"/>
    <w:rsid w:val="377B0824"/>
    <w:rsid w:val="37E20B3D"/>
    <w:rsid w:val="387A4CD8"/>
    <w:rsid w:val="38D64A81"/>
    <w:rsid w:val="38FE1D99"/>
    <w:rsid w:val="390B0493"/>
    <w:rsid w:val="392E6218"/>
    <w:rsid w:val="3994464F"/>
    <w:rsid w:val="39FE20E0"/>
    <w:rsid w:val="3A3222AE"/>
    <w:rsid w:val="3A99060C"/>
    <w:rsid w:val="3ABF6DA1"/>
    <w:rsid w:val="3B5523AF"/>
    <w:rsid w:val="3B581DB7"/>
    <w:rsid w:val="3B8D06A0"/>
    <w:rsid w:val="3B9A2E82"/>
    <w:rsid w:val="3BAD2164"/>
    <w:rsid w:val="3BB31B20"/>
    <w:rsid w:val="3C6F1AE4"/>
    <w:rsid w:val="3D074664"/>
    <w:rsid w:val="3DB059AC"/>
    <w:rsid w:val="3DF029CF"/>
    <w:rsid w:val="3DF67E99"/>
    <w:rsid w:val="3E276496"/>
    <w:rsid w:val="3E881CA5"/>
    <w:rsid w:val="3EA951CD"/>
    <w:rsid w:val="3EB9089A"/>
    <w:rsid w:val="3EBD4D2C"/>
    <w:rsid w:val="3F03301A"/>
    <w:rsid w:val="3F0E643C"/>
    <w:rsid w:val="3F78019F"/>
    <w:rsid w:val="3FD97E39"/>
    <w:rsid w:val="400550DA"/>
    <w:rsid w:val="402577BC"/>
    <w:rsid w:val="402719AD"/>
    <w:rsid w:val="402D2F9F"/>
    <w:rsid w:val="40325DE0"/>
    <w:rsid w:val="40633A53"/>
    <w:rsid w:val="40956F42"/>
    <w:rsid w:val="40A9218C"/>
    <w:rsid w:val="4185427E"/>
    <w:rsid w:val="41875AC3"/>
    <w:rsid w:val="42076FDB"/>
    <w:rsid w:val="420A7338"/>
    <w:rsid w:val="42A92920"/>
    <w:rsid w:val="42AF5263"/>
    <w:rsid w:val="42BC6430"/>
    <w:rsid w:val="42D27945"/>
    <w:rsid w:val="42D50726"/>
    <w:rsid w:val="42FC5730"/>
    <w:rsid w:val="43C63D02"/>
    <w:rsid w:val="43CD287D"/>
    <w:rsid w:val="4428347B"/>
    <w:rsid w:val="44545B56"/>
    <w:rsid w:val="446C10A9"/>
    <w:rsid w:val="450920B3"/>
    <w:rsid w:val="45D24630"/>
    <w:rsid w:val="46572E7B"/>
    <w:rsid w:val="467908A8"/>
    <w:rsid w:val="46D613EA"/>
    <w:rsid w:val="470B4FAE"/>
    <w:rsid w:val="477556D3"/>
    <w:rsid w:val="47FD378C"/>
    <w:rsid w:val="4851178A"/>
    <w:rsid w:val="48A82285"/>
    <w:rsid w:val="49313940"/>
    <w:rsid w:val="498B4DC7"/>
    <w:rsid w:val="49993A25"/>
    <w:rsid w:val="49A044F7"/>
    <w:rsid w:val="49C508A9"/>
    <w:rsid w:val="49F71D67"/>
    <w:rsid w:val="49F95F7D"/>
    <w:rsid w:val="4A4A412F"/>
    <w:rsid w:val="4AA63835"/>
    <w:rsid w:val="4B075698"/>
    <w:rsid w:val="4B4B59BC"/>
    <w:rsid w:val="4B5F530E"/>
    <w:rsid w:val="4B6D5AB2"/>
    <w:rsid w:val="4B7F6991"/>
    <w:rsid w:val="4B9158C6"/>
    <w:rsid w:val="4BC8721E"/>
    <w:rsid w:val="4BDC1971"/>
    <w:rsid w:val="4C337873"/>
    <w:rsid w:val="4C3F7C0D"/>
    <w:rsid w:val="4C4F01D1"/>
    <w:rsid w:val="4C9840D3"/>
    <w:rsid w:val="4D363325"/>
    <w:rsid w:val="4DDC13EF"/>
    <w:rsid w:val="4E080F24"/>
    <w:rsid w:val="4E8A11A7"/>
    <w:rsid w:val="4EB1403F"/>
    <w:rsid w:val="4F045B27"/>
    <w:rsid w:val="4F765296"/>
    <w:rsid w:val="4F9031F1"/>
    <w:rsid w:val="5045744F"/>
    <w:rsid w:val="506579CD"/>
    <w:rsid w:val="51585979"/>
    <w:rsid w:val="517D748C"/>
    <w:rsid w:val="51C977BB"/>
    <w:rsid w:val="51FE2D65"/>
    <w:rsid w:val="52003D56"/>
    <w:rsid w:val="52281AE2"/>
    <w:rsid w:val="524740C4"/>
    <w:rsid w:val="526D1DA9"/>
    <w:rsid w:val="5280129D"/>
    <w:rsid w:val="52AD5F0F"/>
    <w:rsid w:val="52BE473A"/>
    <w:rsid w:val="52F4072A"/>
    <w:rsid w:val="53675445"/>
    <w:rsid w:val="538D7414"/>
    <w:rsid w:val="54080347"/>
    <w:rsid w:val="54082990"/>
    <w:rsid w:val="54810788"/>
    <w:rsid w:val="54EB711A"/>
    <w:rsid w:val="550E0BED"/>
    <w:rsid w:val="55105F70"/>
    <w:rsid w:val="555859FB"/>
    <w:rsid w:val="55620FBE"/>
    <w:rsid w:val="5633425B"/>
    <w:rsid w:val="569B3C4C"/>
    <w:rsid w:val="56EE0255"/>
    <w:rsid w:val="56FF3953"/>
    <w:rsid w:val="57516142"/>
    <w:rsid w:val="576C1D9C"/>
    <w:rsid w:val="57700A78"/>
    <w:rsid w:val="578A303E"/>
    <w:rsid w:val="57C23189"/>
    <w:rsid w:val="57D73803"/>
    <w:rsid w:val="58756F21"/>
    <w:rsid w:val="5876444F"/>
    <w:rsid w:val="58E503A4"/>
    <w:rsid w:val="592A2DEB"/>
    <w:rsid w:val="592A610E"/>
    <w:rsid w:val="59540B19"/>
    <w:rsid w:val="596D2A3E"/>
    <w:rsid w:val="59F7603F"/>
    <w:rsid w:val="5A271683"/>
    <w:rsid w:val="5A534018"/>
    <w:rsid w:val="5A684904"/>
    <w:rsid w:val="5B017F39"/>
    <w:rsid w:val="5B153258"/>
    <w:rsid w:val="5B981B42"/>
    <w:rsid w:val="5BF8470D"/>
    <w:rsid w:val="5C6C6095"/>
    <w:rsid w:val="5C7C524B"/>
    <w:rsid w:val="5C842B40"/>
    <w:rsid w:val="5CA41542"/>
    <w:rsid w:val="5CBB769F"/>
    <w:rsid w:val="5DBA291D"/>
    <w:rsid w:val="5DCA6076"/>
    <w:rsid w:val="5E804FAE"/>
    <w:rsid w:val="5E9A5614"/>
    <w:rsid w:val="5EA93209"/>
    <w:rsid w:val="5EEC5782"/>
    <w:rsid w:val="5F1466A9"/>
    <w:rsid w:val="5F210ECF"/>
    <w:rsid w:val="5F302106"/>
    <w:rsid w:val="5F3E0862"/>
    <w:rsid w:val="5F43346F"/>
    <w:rsid w:val="5F8A64CA"/>
    <w:rsid w:val="5FAB3E69"/>
    <w:rsid w:val="5FBA3E00"/>
    <w:rsid w:val="601111CC"/>
    <w:rsid w:val="60505034"/>
    <w:rsid w:val="60CE43FE"/>
    <w:rsid w:val="60E55076"/>
    <w:rsid w:val="60F85D5C"/>
    <w:rsid w:val="611D70C0"/>
    <w:rsid w:val="6147330A"/>
    <w:rsid w:val="61B5296A"/>
    <w:rsid w:val="61DB63CE"/>
    <w:rsid w:val="61F4610A"/>
    <w:rsid w:val="621B21F4"/>
    <w:rsid w:val="62742AD7"/>
    <w:rsid w:val="62BC7835"/>
    <w:rsid w:val="62EA0275"/>
    <w:rsid w:val="6307074D"/>
    <w:rsid w:val="637849F5"/>
    <w:rsid w:val="640B5599"/>
    <w:rsid w:val="646444D2"/>
    <w:rsid w:val="64914ECF"/>
    <w:rsid w:val="64DF3211"/>
    <w:rsid w:val="661C2172"/>
    <w:rsid w:val="66F20194"/>
    <w:rsid w:val="67BA371C"/>
    <w:rsid w:val="67F176AE"/>
    <w:rsid w:val="67F90C81"/>
    <w:rsid w:val="67FB0092"/>
    <w:rsid w:val="682E0B74"/>
    <w:rsid w:val="686553D3"/>
    <w:rsid w:val="68B30894"/>
    <w:rsid w:val="68BC74E6"/>
    <w:rsid w:val="68DE7382"/>
    <w:rsid w:val="68FD1999"/>
    <w:rsid w:val="69033E34"/>
    <w:rsid w:val="691C3877"/>
    <w:rsid w:val="69245598"/>
    <w:rsid w:val="694F7709"/>
    <w:rsid w:val="699466DD"/>
    <w:rsid w:val="69B67655"/>
    <w:rsid w:val="69BF0D9A"/>
    <w:rsid w:val="6A6761D0"/>
    <w:rsid w:val="6ABE776A"/>
    <w:rsid w:val="6B2C7CA8"/>
    <w:rsid w:val="6B6F403D"/>
    <w:rsid w:val="6B8B273F"/>
    <w:rsid w:val="6C2243CE"/>
    <w:rsid w:val="6C252D94"/>
    <w:rsid w:val="6C7C5777"/>
    <w:rsid w:val="6C8F2466"/>
    <w:rsid w:val="6C9537C2"/>
    <w:rsid w:val="6D4D2F1D"/>
    <w:rsid w:val="6D4E09D1"/>
    <w:rsid w:val="6D622C7A"/>
    <w:rsid w:val="6E16215D"/>
    <w:rsid w:val="6E1929A4"/>
    <w:rsid w:val="6EA91C00"/>
    <w:rsid w:val="6ECF1CDE"/>
    <w:rsid w:val="6ED251E8"/>
    <w:rsid w:val="6EDD3B1A"/>
    <w:rsid w:val="6F0360FF"/>
    <w:rsid w:val="6F8658BD"/>
    <w:rsid w:val="6FFA472D"/>
    <w:rsid w:val="70890D89"/>
    <w:rsid w:val="70897221"/>
    <w:rsid w:val="709B0439"/>
    <w:rsid w:val="70D7053D"/>
    <w:rsid w:val="70EC058B"/>
    <w:rsid w:val="716662A3"/>
    <w:rsid w:val="717253CA"/>
    <w:rsid w:val="71963337"/>
    <w:rsid w:val="71A912DA"/>
    <w:rsid w:val="71AD08EB"/>
    <w:rsid w:val="71DD5286"/>
    <w:rsid w:val="723E1631"/>
    <w:rsid w:val="73521285"/>
    <w:rsid w:val="73E03482"/>
    <w:rsid w:val="74CA2227"/>
    <w:rsid w:val="74FB017E"/>
    <w:rsid w:val="751427E9"/>
    <w:rsid w:val="75214776"/>
    <w:rsid w:val="75F807C3"/>
    <w:rsid w:val="76687F6D"/>
    <w:rsid w:val="7681262D"/>
    <w:rsid w:val="76CB10E9"/>
    <w:rsid w:val="76EB46C4"/>
    <w:rsid w:val="77051AE5"/>
    <w:rsid w:val="77076B36"/>
    <w:rsid w:val="770D6331"/>
    <w:rsid w:val="775B0111"/>
    <w:rsid w:val="777E494C"/>
    <w:rsid w:val="77CA1F93"/>
    <w:rsid w:val="78221D9D"/>
    <w:rsid w:val="7822607F"/>
    <w:rsid w:val="78252AEB"/>
    <w:rsid w:val="7867069A"/>
    <w:rsid w:val="78B50DB6"/>
    <w:rsid w:val="78D153F8"/>
    <w:rsid w:val="791B5AFD"/>
    <w:rsid w:val="7922035E"/>
    <w:rsid w:val="7A2314B5"/>
    <w:rsid w:val="7ACF67ED"/>
    <w:rsid w:val="7B1726BA"/>
    <w:rsid w:val="7B207550"/>
    <w:rsid w:val="7B4A1103"/>
    <w:rsid w:val="7B4F0803"/>
    <w:rsid w:val="7C9731EA"/>
    <w:rsid w:val="7CBC5DE1"/>
    <w:rsid w:val="7D2810F8"/>
    <w:rsid w:val="7D370B0B"/>
    <w:rsid w:val="7D376068"/>
    <w:rsid w:val="7DB11956"/>
    <w:rsid w:val="7E08762E"/>
    <w:rsid w:val="7E8C05EF"/>
    <w:rsid w:val="7EE24DAB"/>
    <w:rsid w:val="7F0C45CA"/>
    <w:rsid w:val="7F191519"/>
    <w:rsid w:val="7F351D07"/>
    <w:rsid w:val="7F5F0A2C"/>
    <w:rsid w:val="7F711B6D"/>
    <w:rsid w:val="7F9E5BDA"/>
    <w:rsid w:val="7FA70EBD"/>
    <w:rsid w:val="7FBF3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ms Rmn" w:hAnsi="Tms Rmn" w:eastAsia="宋体" w:cs="Times New Roman"/>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77"/>
    <w:qFormat/>
    <w:uiPriority w:val="0"/>
    <w:pPr>
      <w:keepNext/>
      <w:keepLines/>
      <w:spacing w:before="260" w:after="260" w:line="360" w:lineRule="auto"/>
      <w:outlineLvl w:val="1"/>
    </w:pPr>
    <w:rPr>
      <w:rFonts w:ascii="宋体" w:hAnsi="宋体"/>
      <w:b/>
      <w:bCs/>
      <w:color w:val="000000"/>
      <w:sz w:val="30"/>
      <w:szCs w:val="32"/>
    </w:rPr>
  </w:style>
  <w:style w:type="paragraph" w:styleId="5">
    <w:name w:val="heading 3"/>
    <w:basedOn w:val="1"/>
    <w:next w:val="1"/>
    <w:qFormat/>
    <w:uiPriority w:val="0"/>
    <w:pPr>
      <w:keepNext/>
      <w:keepLines/>
      <w:spacing w:before="260" w:after="260" w:line="416" w:lineRule="auto"/>
      <w:outlineLvl w:val="2"/>
    </w:pPr>
    <w:rPr>
      <w:rFonts w:ascii="宋体" w:hAnsi="宋体"/>
      <w:b/>
      <w:sz w:val="30"/>
    </w:rPr>
  </w:style>
  <w:style w:type="paragraph" w:styleId="6">
    <w:name w:val="heading 4"/>
    <w:basedOn w:val="1"/>
    <w:next w:val="7"/>
    <w:qFormat/>
    <w:uiPriority w:val="0"/>
    <w:pPr>
      <w:keepNext/>
      <w:keepLines/>
      <w:numPr>
        <w:ilvl w:val="3"/>
        <w:numId w:val="1"/>
      </w:numPr>
      <w:spacing w:before="360" w:line="240" w:lineRule="exact"/>
      <w:outlineLvl w:val="3"/>
    </w:pPr>
    <w:rPr>
      <w:rFonts w:ascii="宋体"/>
      <w:b/>
      <w:sz w:val="28"/>
    </w:rPr>
  </w:style>
  <w:style w:type="paragraph" w:styleId="8">
    <w:name w:val="heading 5"/>
    <w:basedOn w:val="1"/>
    <w:next w:val="7"/>
    <w:qFormat/>
    <w:uiPriority w:val="0"/>
    <w:pPr>
      <w:keepNext/>
      <w:keepLines/>
      <w:numPr>
        <w:ilvl w:val="4"/>
        <w:numId w:val="1"/>
      </w:numPr>
      <w:spacing w:before="280" w:after="290" w:line="376" w:lineRule="auto"/>
      <w:outlineLvl w:val="4"/>
    </w:pPr>
    <w:rPr>
      <w:b/>
      <w:sz w:val="28"/>
    </w:rPr>
  </w:style>
  <w:style w:type="paragraph" w:styleId="9">
    <w:name w:val="heading 6"/>
    <w:basedOn w:val="1"/>
    <w:next w:val="7"/>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7"/>
    <w:qFormat/>
    <w:uiPriority w:val="0"/>
    <w:pPr>
      <w:keepNext/>
      <w:keepLines/>
      <w:numPr>
        <w:ilvl w:val="6"/>
        <w:numId w:val="1"/>
      </w:numPr>
      <w:spacing w:before="240" w:after="64" w:line="320" w:lineRule="auto"/>
      <w:outlineLvl w:val="6"/>
    </w:pPr>
    <w:rPr>
      <w:b/>
      <w:sz w:val="24"/>
    </w:rPr>
  </w:style>
  <w:style w:type="paragraph" w:styleId="11">
    <w:name w:val="heading 8"/>
    <w:basedOn w:val="1"/>
    <w:next w:val="7"/>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7"/>
    <w:qFormat/>
    <w:uiPriority w:val="0"/>
    <w:pPr>
      <w:keepNext/>
      <w:keepLines/>
      <w:numPr>
        <w:ilvl w:val="8"/>
        <w:numId w:val="1"/>
      </w:numPr>
      <w:spacing w:before="240" w:after="64" w:line="320" w:lineRule="auto"/>
      <w:outlineLvl w:val="8"/>
    </w:pPr>
    <w:rPr>
      <w:rFonts w:ascii="Arial" w:hAnsi="Arial" w:eastAsia="黑体"/>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9"/>
    <w:qFormat/>
    <w:uiPriority w:val="0"/>
    <w:pPr>
      <w:spacing w:after="120"/>
    </w:pPr>
    <w:rPr>
      <w:rFonts w:ascii="Times New Roman" w:hAnsi="Times New Roman"/>
      <w:kern w:val="2"/>
      <w:sz w:val="21"/>
    </w:rPr>
  </w:style>
  <w:style w:type="paragraph" w:styleId="7">
    <w:name w:val="Normal Indent"/>
    <w:basedOn w:val="1"/>
    <w:qFormat/>
    <w:uiPriority w:val="0"/>
    <w:pPr>
      <w:ind w:firstLine="420"/>
    </w:pPr>
  </w:style>
  <w:style w:type="paragraph" w:styleId="13">
    <w:name w:val="toc 7"/>
    <w:basedOn w:val="1"/>
    <w:next w:val="1"/>
    <w:qFormat/>
    <w:uiPriority w:val="0"/>
    <w:pPr>
      <w:ind w:left="1260"/>
      <w:jc w:val="left"/>
    </w:pPr>
    <w:rPr>
      <w:sz w:val="18"/>
      <w:szCs w:val="18"/>
    </w:rPr>
  </w:style>
  <w:style w:type="paragraph" w:styleId="14">
    <w:name w:val="annotation text"/>
    <w:basedOn w:val="1"/>
    <w:unhideWhenUsed/>
    <w:qFormat/>
    <w:uiPriority w:val="99"/>
    <w:pPr>
      <w:jc w:val="left"/>
    </w:pPr>
  </w:style>
  <w:style w:type="paragraph" w:styleId="15">
    <w:name w:val="Salutation"/>
    <w:basedOn w:val="1"/>
    <w:next w:val="1"/>
    <w:qFormat/>
    <w:uiPriority w:val="0"/>
    <w:rPr>
      <w:sz w:val="24"/>
      <w:szCs w:val="24"/>
    </w:rPr>
  </w:style>
  <w:style w:type="paragraph" w:styleId="16">
    <w:name w:val="Body Text Indent"/>
    <w:basedOn w:val="1"/>
    <w:link w:val="167"/>
    <w:qFormat/>
    <w:uiPriority w:val="0"/>
    <w:pPr>
      <w:spacing w:after="120"/>
      <w:ind w:left="420"/>
    </w:pPr>
    <w:rPr>
      <w:rFonts w:ascii="Times New Roman" w:hAnsi="Times New Roman"/>
      <w:kern w:val="2"/>
      <w:sz w:val="21"/>
    </w:rPr>
  </w:style>
  <w:style w:type="paragraph" w:styleId="17">
    <w:name w:val="Block Text"/>
    <w:basedOn w:val="1"/>
    <w:qFormat/>
    <w:uiPriority w:val="0"/>
    <w:pPr>
      <w:topLinePunct/>
      <w:adjustRightInd w:val="0"/>
      <w:snapToGrid w:val="0"/>
      <w:spacing w:line="360" w:lineRule="auto"/>
      <w:ind w:left="340" w:right="113" w:firstLine="425"/>
      <w:textAlignment w:val="baseline"/>
    </w:pPr>
    <w:rPr>
      <w:rFonts w:ascii="宋体" w:hAnsi="宋体"/>
      <w:sz w:val="24"/>
      <w:szCs w:val="24"/>
    </w:rPr>
  </w:style>
  <w:style w:type="paragraph" w:styleId="18">
    <w:name w:val="toc 5"/>
    <w:basedOn w:val="1"/>
    <w:next w:val="1"/>
    <w:qFormat/>
    <w:uiPriority w:val="0"/>
    <w:pPr>
      <w:ind w:left="840"/>
      <w:jc w:val="left"/>
    </w:pPr>
    <w:rPr>
      <w:sz w:val="18"/>
      <w:szCs w:val="18"/>
    </w:rPr>
  </w:style>
  <w:style w:type="paragraph" w:styleId="19">
    <w:name w:val="toc 3"/>
    <w:basedOn w:val="1"/>
    <w:next w:val="1"/>
    <w:qFormat/>
    <w:uiPriority w:val="0"/>
    <w:pPr>
      <w:adjustRightInd w:val="0"/>
      <w:snapToGrid w:val="0"/>
      <w:spacing w:after="93" w:afterLines="30" w:line="300" w:lineRule="auto"/>
      <w:ind w:left="840" w:leftChars="400" w:firstLine="200" w:firstLineChars="200"/>
      <w:textAlignment w:val="baseline"/>
    </w:pPr>
    <w:rPr>
      <w:rFonts w:ascii="仿宋_GB2312" w:hAnsi="宋体" w:eastAsia="仿宋_GB2312"/>
      <w:bCs/>
      <w:sz w:val="24"/>
    </w:rPr>
  </w:style>
  <w:style w:type="paragraph" w:styleId="20">
    <w:name w:val="Plain Text"/>
    <w:basedOn w:val="1"/>
    <w:link w:val="166"/>
    <w:qFormat/>
    <w:uiPriority w:val="0"/>
    <w:rPr>
      <w:rFonts w:ascii="宋体" w:hAnsi="Courier New"/>
      <w:kern w:val="2"/>
      <w:sz w:val="21"/>
      <w:szCs w:val="21"/>
    </w:rPr>
  </w:style>
  <w:style w:type="paragraph" w:styleId="21">
    <w:name w:val="toc 8"/>
    <w:basedOn w:val="1"/>
    <w:next w:val="1"/>
    <w:qFormat/>
    <w:uiPriority w:val="0"/>
    <w:pPr>
      <w:ind w:left="1470"/>
      <w:jc w:val="left"/>
    </w:pPr>
    <w:rPr>
      <w:sz w:val="18"/>
      <w:szCs w:val="18"/>
    </w:rPr>
  </w:style>
  <w:style w:type="paragraph" w:styleId="22">
    <w:name w:val="Date"/>
    <w:basedOn w:val="1"/>
    <w:next w:val="1"/>
    <w:link w:val="170"/>
    <w:qFormat/>
    <w:uiPriority w:val="0"/>
    <w:rPr>
      <w:rFonts w:ascii="Times New Roman" w:hAnsi="Times New Roman"/>
      <w:kern w:val="2"/>
      <w:sz w:val="21"/>
    </w:rPr>
  </w:style>
  <w:style w:type="paragraph" w:styleId="23">
    <w:name w:val="Body Text Indent 2"/>
    <w:basedOn w:val="1"/>
    <w:qFormat/>
    <w:uiPriority w:val="0"/>
    <w:pPr>
      <w:spacing w:after="120" w:line="480" w:lineRule="auto"/>
      <w:ind w:left="420"/>
    </w:pPr>
  </w:style>
  <w:style w:type="paragraph" w:styleId="24">
    <w:name w:val="Balloon Text"/>
    <w:basedOn w:val="1"/>
    <w:qFormat/>
    <w:uiPriority w:val="0"/>
    <w:rPr>
      <w:sz w:val="18"/>
      <w:szCs w:val="18"/>
    </w:rPr>
  </w:style>
  <w:style w:type="paragraph" w:styleId="25">
    <w:name w:val="footer"/>
    <w:basedOn w:val="1"/>
    <w:link w:val="171"/>
    <w:qFormat/>
    <w:uiPriority w:val="0"/>
    <w:pPr>
      <w:tabs>
        <w:tab w:val="center" w:pos="4153"/>
        <w:tab w:val="right" w:pos="8306"/>
      </w:tabs>
      <w:snapToGrid w:val="0"/>
      <w:jc w:val="left"/>
    </w:pPr>
    <w:rPr>
      <w:rFonts w:ascii="Times New Roman" w:hAnsi="Times New Roman"/>
      <w:kern w:val="2"/>
      <w:sz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0"/>
    <w:pPr>
      <w:jc w:val="center"/>
    </w:pPr>
    <w:rPr>
      <w:sz w:val="44"/>
      <w:szCs w:val="44"/>
    </w:rPr>
  </w:style>
  <w:style w:type="paragraph" w:styleId="28">
    <w:name w:val="toc 4"/>
    <w:basedOn w:val="1"/>
    <w:next w:val="1"/>
    <w:qFormat/>
    <w:uiPriority w:val="0"/>
    <w:pPr>
      <w:ind w:left="630"/>
      <w:jc w:val="left"/>
    </w:pPr>
    <w:rPr>
      <w:sz w:val="18"/>
      <w:szCs w:val="18"/>
    </w:rPr>
  </w:style>
  <w:style w:type="paragraph" w:styleId="29">
    <w:name w:val="toc 6"/>
    <w:basedOn w:val="1"/>
    <w:next w:val="1"/>
    <w:qFormat/>
    <w:uiPriority w:val="0"/>
    <w:pPr>
      <w:ind w:left="1050"/>
      <w:jc w:val="left"/>
    </w:pPr>
    <w:rPr>
      <w:sz w:val="18"/>
      <w:szCs w:val="18"/>
    </w:rPr>
  </w:style>
  <w:style w:type="paragraph" w:styleId="30">
    <w:name w:val="Body Text Indent 3"/>
    <w:basedOn w:val="1"/>
    <w:qFormat/>
    <w:uiPriority w:val="0"/>
    <w:pPr>
      <w:spacing w:after="120"/>
      <w:ind w:left="420"/>
    </w:pPr>
    <w:rPr>
      <w:sz w:val="16"/>
      <w:szCs w:val="16"/>
    </w:rPr>
  </w:style>
  <w:style w:type="paragraph" w:styleId="31">
    <w:name w:val="toc 2"/>
    <w:basedOn w:val="1"/>
    <w:next w:val="1"/>
    <w:qFormat/>
    <w:uiPriority w:val="0"/>
    <w:pPr>
      <w:tabs>
        <w:tab w:val="right" w:leader="dot" w:pos="9125"/>
      </w:tabs>
      <w:adjustRightInd w:val="0"/>
      <w:snapToGrid w:val="0"/>
      <w:spacing w:after="93" w:afterLines="30" w:line="300" w:lineRule="auto"/>
      <w:ind w:left="420" w:leftChars="200" w:firstLine="300" w:firstLineChars="125"/>
      <w:textAlignment w:val="baseline"/>
    </w:pPr>
    <w:rPr>
      <w:rFonts w:ascii="仿宋_GB2312" w:hAnsi="宋体" w:eastAsia="仿宋_GB2312"/>
      <w:bCs/>
      <w:sz w:val="24"/>
    </w:rPr>
  </w:style>
  <w:style w:type="paragraph" w:styleId="32">
    <w:name w:val="toc 9"/>
    <w:basedOn w:val="1"/>
    <w:next w:val="1"/>
    <w:qFormat/>
    <w:uiPriority w:val="0"/>
    <w:pPr>
      <w:ind w:left="1680"/>
      <w:jc w:val="left"/>
    </w:pPr>
    <w:rPr>
      <w:sz w:val="18"/>
      <w:szCs w:val="18"/>
    </w:rPr>
  </w:style>
  <w:style w:type="paragraph" w:styleId="33">
    <w:name w:val="Body Text 2"/>
    <w:basedOn w:val="1"/>
    <w:qFormat/>
    <w:uiPriority w:val="0"/>
    <w:pPr>
      <w:spacing w:line="460" w:lineRule="exact"/>
    </w:pPr>
    <w:rPr>
      <w:sz w:val="24"/>
    </w:rPr>
  </w:style>
  <w:style w:type="paragraph" w:styleId="34">
    <w:name w:val="Normal (Web)"/>
    <w:basedOn w:val="1"/>
    <w:qFormat/>
    <w:uiPriority w:val="0"/>
    <w:rPr>
      <w:sz w:val="24"/>
      <w:szCs w:val="24"/>
    </w:rPr>
  </w:style>
  <w:style w:type="paragraph" w:styleId="35">
    <w:name w:val="Title"/>
    <w:basedOn w:val="1"/>
    <w:next w:val="1"/>
    <w:link w:val="174"/>
    <w:qFormat/>
    <w:uiPriority w:val="0"/>
    <w:pPr>
      <w:widowControl/>
      <w:pBdr>
        <w:bottom w:val="single" w:color="4F81BD" w:sz="8" w:space="4"/>
      </w:pBdr>
      <w:spacing w:after="300"/>
      <w:contextualSpacing/>
      <w:jc w:val="left"/>
    </w:pPr>
    <w:rPr>
      <w:rFonts w:ascii="Cambria" w:hAnsi="Cambria"/>
      <w:color w:val="17365D"/>
      <w:spacing w:val="5"/>
      <w:kern w:val="28"/>
      <w:sz w:val="52"/>
      <w:szCs w:val="52"/>
      <w:lang w:eastAsia="en-US" w:bidi="en-US"/>
    </w:rPr>
  </w:style>
  <w:style w:type="paragraph" w:styleId="36">
    <w:name w:val="Body Text First Indent"/>
    <w:basedOn w:val="2"/>
    <w:qFormat/>
    <w:uiPriority w:val="0"/>
    <w:pPr>
      <w:adjustRightInd w:val="0"/>
      <w:snapToGrid w:val="0"/>
      <w:spacing w:after="93" w:afterLines="30" w:line="300" w:lineRule="auto"/>
      <w:ind w:firstLine="200" w:firstLineChars="200"/>
      <w:textAlignment w:val="baseline"/>
    </w:pPr>
    <w:rPr>
      <w:rFonts w:ascii="仿宋_GB2312" w:hAnsi="宋体" w:eastAsia="仿宋_GB2312"/>
      <w:b/>
      <w:bCs/>
      <w:sz w:val="24"/>
      <w:szCs w:val="36"/>
      <w:lang w:val="en-GB"/>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0"/>
    <w:rPr>
      <w:color w:val="333333"/>
      <w:u w:val="none"/>
    </w:rPr>
  </w:style>
  <w:style w:type="character" w:styleId="43">
    <w:name w:val="Emphasis"/>
    <w:qFormat/>
    <w:uiPriority w:val="0"/>
    <w:rPr>
      <w:color w:val="CC0033"/>
    </w:rPr>
  </w:style>
  <w:style w:type="character" w:styleId="44">
    <w:name w:val="Hyperlink"/>
    <w:qFormat/>
    <w:uiPriority w:val="0"/>
    <w:rPr>
      <w:color w:val="333333"/>
      <w:u w:val="none"/>
    </w:rPr>
  </w:style>
  <w:style w:type="paragraph" w:customStyle="1" w:styleId="45">
    <w:name w:val="样式 样式 左侧:  2 字符 + 左侧:  0.85 厘米 首行缩进:  2 字符1"/>
    <w:basedOn w:val="1"/>
    <w:qFormat/>
    <w:uiPriority w:val="99"/>
    <w:pPr>
      <w:ind w:left="482" w:firstLine="200" w:firstLineChars="200"/>
    </w:pPr>
    <w:rPr>
      <w:rFonts w:cs="宋体"/>
    </w:rPr>
  </w:style>
  <w:style w:type="paragraph" w:customStyle="1" w:styleId="46">
    <w:name w:val="xl77"/>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rPr>
  </w:style>
  <w:style w:type="paragraph" w:customStyle="1" w:styleId="47">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Arial Unicode MS"/>
      <w:color w:val="000000"/>
      <w:kern w:val="2"/>
      <w:sz w:val="21"/>
      <w:szCs w:val="21"/>
      <w:lang w:val="en-US" w:eastAsia="zh-CN" w:bidi="ar-SA"/>
    </w:rPr>
  </w:style>
  <w:style w:type="paragraph" w:customStyle="1" w:styleId="48">
    <w:name w:val="Char"/>
    <w:basedOn w:val="1"/>
    <w:qFormat/>
    <w:uiPriority w:val="0"/>
    <w:pPr>
      <w:widowControl/>
      <w:spacing w:after="160" w:line="240" w:lineRule="exact"/>
      <w:jc w:val="left"/>
    </w:pPr>
    <w:rPr>
      <w:rFonts w:ascii="Verdana" w:hAnsi="Verdana" w:eastAsia="仿宋_GB2312"/>
      <w:sz w:val="24"/>
      <w:lang w:eastAsia="en-US"/>
    </w:rPr>
  </w:style>
  <w:style w:type="paragraph" w:customStyle="1" w:styleId="49">
    <w:name w:val="xl94"/>
    <w:basedOn w:val="1"/>
    <w:qFormat/>
    <w:uiPriority w:val="0"/>
    <w:pPr>
      <w:widowControl/>
      <w:pBdr>
        <w:top w:val="single" w:color="auto" w:sz="8" w:space="0"/>
        <w:bottom w:val="single" w:color="auto" w:sz="8" w:space="0"/>
      </w:pBdr>
      <w:spacing w:before="100" w:beforeAutospacing="1" w:after="100" w:afterAutospacing="1"/>
      <w:jc w:val="center"/>
      <w:textAlignment w:val="bottom"/>
    </w:pPr>
    <w:rPr>
      <w:rFonts w:ascii="宋体" w:hAnsi="宋体"/>
      <w:b/>
      <w:bCs/>
    </w:rPr>
  </w:style>
  <w:style w:type="paragraph" w:customStyle="1" w:styleId="50">
    <w:name w:val="文档正文"/>
    <w:basedOn w:val="1"/>
    <w:qFormat/>
    <w:uiPriority w:val="0"/>
    <w:pPr>
      <w:adjustRightInd w:val="0"/>
      <w:spacing w:line="312" w:lineRule="atLeast"/>
      <w:ind w:firstLine="567"/>
      <w:textAlignment w:val="baseline"/>
    </w:pPr>
    <w:rPr>
      <w:rFonts w:ascii="长城仿宋" w:eastAsia="长城仿宋"/>
      <w:sz w:val="28"/>
    </w:rPr>
  </w:style>
  <w:style w:type="paragraph" w:customStyle="1" w:styleId="51">
    <w:name w:val="样式 三级条标题 + 行距: 固定值 22 磅"/>
    <w:basedOn w:val="1"/>
    <w:qFormat/>
    <w:uiPriority w:val="0"/>
    <w:pPr>
      <w:widowControl/>
      <w:spacing w:line="440" w:lineRule="exact"/>
      <w:outlineLvl w:val="4"/>
    </w:pPr>
    <w:rPr>
      <w:rFonts w:ascii="黑体" w:cs="宋体"/>
      <w:sz w:val="24"/>
    </w:rPr>
  </w:style>
  <w:style w:type="paragraph" w:customStyle="1" w:styleId="52">
    <w:name w:val="xl9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rPr>
  </w:style>
  <w:style w:type="paragraph" w:customStyle="1" w:styleId="53">
    <w:name w:val="xl29"/>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textAlignment w:val="bottom"/>
    </w:pPr>
    <w:rPr>
      <w:rFonts w:ascii="宋体" w:hAnsi="宋体"/>
      <w:b/>
      <w:bCs/>
    </w:rPr>
  </w:style>
  <w:style w:type="paragraph" w:customStyle="1" w:styleId="54">
    <w:name w:val="Normal1"/>
    <w:next w:val="1"/>
    <w:qFormat/>
    <w:uiPriority w:val="0"/>
    <w:pPr>
      <w:overflowPunct w:val="0"/>
      <w:autoSpaceDE w:val="0"/>
      <w:autoSpaceDN w:val="0"/>
      <w:adjustRightInd w:val="0"/>
      <w:textAlignment w:val="baseline"/>
    </w:pPr>
    <w:rPr>
      <w:rFonts w:ascii="Times" w:hAnsi="Times" w:eastAsia="宋体" w:cs="Times New Roman"/>
      <w:sz w:val="24"/>
      <w:lang w:val="fr-FR" w:eastAsia="zh-CN" w:bidi="ar-SA"/>
    </w:rPr>
  </w:style>
  <w:style w:type="paragraph" w:customStyle="1" w:styleId="55">
    <w:name w:val="4标题"/>
    <w:basedOn w:val="1"/>
    <w:qFormat/>
    <w:uiPriority w:val="0"/>
    <w:pPr>
      <w:widowControl/>
      <w:spacing w:line="440" w:lineRule="exact"/>
      <w:ind w:left="1260"/>
      <w:outlineLvl w:val="5"/>
    </w:pPr>
    <w:rPr>
      <w:rFonts w:ascii="黑体" w:cs="宋体"/>
      <w:sz w:val="24"/>
    </w:rPr>
  </w:style>
  <w:style w:type="paragraph" w:customStyle="1" w:styleId="56">
    <w:name w:val="xl36"/>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top"/>
    </w:pPr>
    <w:rPr>
      <w:rFonts w:ascii="宋体" w:hAnsi="宋体"/>
    </w:rPr>
  </w:style>
  <w:style w:type="paragraph" w:customStyle="1" w:styleId="57">
    <w:name w:val="标书标题3"/>
    <w:basedOn w:val="1"/>
    <w:qFormat/>
    <w:uiPriority w:val="0"/>
    <w:pPr>
      <w:tabs>
        <w:tab w:val="left" w:pos="7920"/>
      </w:tabs>
      <w:adjustRightInd w:val="0"/>
      <w:snapToGrid w:val="0"/>
      <w:spacing w:line="360" w:lineRule="auto"/>
    </w:pPr>
    <w:rPr>
      <w:rFonts w:ascii="宋体" w:hAnsi="宋体"/>
      <w:color w:val="000000"/>
      <w:sz w:val="24"/>
    </w:rPr>
  </w:style>
  <w:style w:type="paragraph" w:customStyle="1" w:styleId="58">
    <w:name w:val="xl8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rPr>
  </w:style>
  <w:style w:type="paragraph" w:customStyle="1" w:styleId="59">
    <w:name w:val="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60">
    <w:name w:val="xl91"/>
    <w:basedOn w:val="1"/>
    <w:qFormat/>
    <w:uiPriority w:val="0"/>
    <w:pPr>
      <w:widowControl/>
      <w:pBdr>
        <w:top w:val="single" w:color="auto" w:sz="4" w:space="0"/>
        <w:left w:val="single" w:color="auto" w:sz="8" w:space="0"/>
        <w:bottom w:val="single" w:color="auto" w:sz="4" w:space="0"/>
        <w:right w:val="single" w:color="auto" w:sz="8" w:space="0"/>
      </w:pBdr>
      <w:spacing w:before="100" w:beforeAutospacing="1" w:after="100" w:afterAutospacing="1"/>
      <w:jc w:val="center"/>
    </w:pPr>
    <w:rPr>
      <w:rFonts w:ascii="宋体" w:hAnsi="宋体"/>
    </w:rPr>
  </w:style>
  <w:style w:type="paragraph" w:styleId="61">
    <w:name w:val="List Paragraph"/>
    <w:basedOn w:val="1"/>
    <w:qFormat/>
    <w:uiPriority w:val="34"/>
    <w:pPr>
      <w:widowControl/>
      <w:spacing w:after="200" w:line="276" w:lineRule="auto"/>
      <w:ind w:left="720"/>
      <w:contextualSpacing/>
      <w:jc w:val="left"/>
    </w:pPr>
    <w:rPr>
      <w:rFonts w:ascii="Calibri" w:hAnsi="Calibri"/>
      <w:sz w:val="22"/>
      <w:szCs w:val="22"/>
      <w:lang w:eastAsia="en-US" w:bidi="en-US"/>
    </w:rPr>
  </w:style>
  <w:style w:type="paragraph" w:customStyle="1" w:styleId="62">
    <w:name w:val="附录Heading 3"/>
    <w:basedOn w:val="5"/>
    <w:qFormat/>
    <w:uiPriority w:val="0"/>
    <w:pPr>
      <w:keepLines w:val="0"/>
      <w:widowControl/>
      <w:numPr>
        <w:ilvl w:val="1"/>
        <w:numId w:val="2"/>
      </w:numPr>
      <w:tabs>
        <w:tab w:val="left" w:pos="360"/>
        <w:tab w:val="left" w:pos="900"/>
        <w:tab w:val="clear" w:pos="2254"/>
      </w:tabs>
      <w:spacing w:after="120" w:line="400" w:lineRule="exact"/>
      <w:ind w:left="1440" w:hanging="720"/>
      <w:jc w:val="left"/>
    </w:pPr>
    <w:rPr>
      <w:rFonts w:cs="Arial"/>
      <w:color w:val="000000"/>
      <w:sz w:val="24"/>
      <w:szCs w:val="24"/>
    </w:rPr>
  </w:style>
  <w:style w:type="paragraph" w:customStyle="1" w:styleId="63">
    <w:name w:val="xl75"/>
    <w:basedOn w:val="1"/>
    <w:qFormat/>
    <w:uiPriority w:val="0"/>
    <w:pPr>
      <w:widowControl/>
      <w:pBdr>
        <w:top w:val="single" w:color="auto" w:sz="4" w:space="0"/>
        <w:left w:val="single" w:color="auto" w:sz="8" w:space="0"/>
        <w:bottom w:val="single" w:color="auto" w:sz="8" w:space="0"/>
        <w:right w:val="single" w:color="auto" w:sz="8" w:space="0"/>
      </w:pBdr>
      <w:spacing w:before="100" w:beforeAutospacing="1" w:after="100" w:afterAutospacing="1"/>
      <w:jc w:val="center"/>
    </w:pPr>
    <w:rPr>
      <w:rFonts w:ascii="宋体" w:hAnsi="宋体"/>
    </w:rPr>
  </w:style>
  <w:style w:type="paragraph" w:customStyle="1" w:styleId="64">
    <w:name w:val="一级条标题1"/>
    <w:basedOn w:val="1"/>
    <w:qFormat/>
    <w:uiPriority w:val="0"/>
    <w:pPr>
      <w:widowControl/>
      <w:spacing w:before="156" w:beforeLines="50"/>
      <w:outlineLvl w:val="2"/>
    </w:pPr>
    <w:rPr>
      <w:rFonts w:ascii="Arial" w:hAnsi="Arial" w:eastAsia="仿宋_GB2312" w:cs="宋体"/>
      <w:sz w:val="24"/>
    </w:rPr>
  </w:style>
  <w:style w:type="paragraph" w:customStyle="1" w:styleId="65">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position w:val="-6"/>
      <w:sz w:val="24"/>
      <w:lang w:val="fr-FR"/>
    </w:rPr>
  </w:style>
  <w:style w:type="paragraph" w:customStyle="1" w:styleId="66">
    <w:name w:val="xl65"/>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rPr>
  </w:style>
  <w:style w:type="paragraph" w:customStyle="1" w:styleId="67">
    <w:name w:val="标书标题44"/>
    <w:basedOn w:val="6"/>
    <w:next w:val="1"/>
    <w:qFormat/>
    <w:uiPriority w:val="0"/>
    <w:pPr>
      <w:numPr>
        <w:numId w:val="0"/>
      </w:numPr>
      <w:tabs>
        <w:tab w:val="left" w:pos="575"/>
      </w:tabs>
      <w:spacing w:before="280" w:after="290" w:line="520" w:lineRule="exact"/>
    </w:pPr>
    <w:rPr>
      <w:rFonts w:hAnsi="宋体" w:cs="宋体"/>
      <w:szCs w:val="28"/>
      <w:lang w:val="zh-CN"/>
    </w:rPr>
  </w:style>
  <w:style w:type="paragraph" w:customStyle="1" w:styleId="68">
    <w:name w:val="xl55"/>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rPr>
  </w:style>
  <w:style w:type="paragraph" w:customStyle="1" w:styleId="69">
    <w:name w:val="xl73"/>
    <w:basedOn w:val="1"/>
    <w:qFormat/>
    <w:uiPriority w:val="0"/>
    <w:pPr>
      <w:widowControl/>
      <w:pBdr>
        <w:left w:val="single" w:color="auto" w:sz="8" w:space="0"/>
        <w:bottom w:val="single" w:color="auto" w:sz="4" w:space="0"/>
        <w:right w:val="single" w:color="auto" w:sz="8" w:space="0"/>
      </w:pBdr>
      <w:spacing w:before="100" w:beforeAutospacing="1" w:after="100" w:afterAutospacing="1"/>
      <w:jc w:val="left"/>
    </w:pPr>
    <w:rPr>
      <w:rFonts w:ascii="宋体" w:hAnsi="宋体"/>
    </w:rPr>
  </w:style>
  <w:style w:type="paragraph" w:customStyle="1" w:styleId="70">
    <w:name w:val="标书标题55"/>
    <w:basedOn w:val="8"/>
    <w:next w:val="1"/>
    <w:qFormat/>
    <w:uiPriority w:val="0"/>
    <w:pPr>
      <w:numPr>
        <w:ilvl w:val="5"/>
        <w:numId w:val="3"/>
      </w:numPr>
      <w:tabs>
        <w:tab w:val="left" w:pos="992"/>
        <w:tab w:val="clear" w:pos="1134"/>
      </w:tabs>
      <w:spacing w:line="360" w:lineRule="auto"/>
      <w:ind w:left="992" w:hanging="992"/>
    </w:pPr>
    <w:rPr>
      <w:rFonts w:ascii="Arial" w:hAnsi="Arial"/>
      <w:bCs/>
      <w:kern w:val="44"/>
      <w:szCs w:val="44"/>
    </w:rPr>
  </w:style>
  <w:style w:type="paragraph" w:customStyle="1" w:styleId="71">
    <w:name w:val="xl41"/>
    <w:basedOn w:val="1"/>
    <w:qFormat/>
    <w:uiPriority w:val="0"/>
    <w:pPr>
      <w:widowControl/>
      <w:pBdr>
        <w:top w:val="single" w:color="auto" w:sz="4" w:space="0"/>
        <w:left w:val="single" w:color="auto" w:sz="8" w:space="0"/>
        <w:bottom w:val="single" w:color="auto" w:sz="4" w:space="0"/>
        <w:right w:val="single" w:color="auto" w:sz="8" w:space="0"/>
      </w:pBdr>
      <w:spacing w:before="100" w:beforeAutospacing="1" w:after="100" w:afterAutospacing="1"/>
      <w:jc w:val="left"/>
    </w:pPr>
    <w:rPr>
      <w:rFonts w:ascii="宋体" w:hAnsi="宋体"/>
    </w:rPr>
  </w:style>
  <w:style w:type="paragraph" w:customStyle="1" w:styleId="72">
    <w:name w:val="Char Char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73">
    <w:name w:val="xl8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rPr>
  </w:style>
  <w:style w:type="paragraph" w:customStyle="1" w:styleId="74">
    <w:name w:val="style41"/>
    <w:basedOn w:val="1"/>
    <w:qFormat/>
    <w:uiPriority w:val="0"/>
    <w:pPr>
      <w:widowControl/>
      <w:spacing w:before="100" w:beforeAutospacing="1" w:after="100" w:afterAutospacing="1"/>
      <w:jc w:val="left"/>
    </w:pPr>
    <w:rPr>
      <w:rFonts w:ascii="宋体" w:hAnsi="宋体"/>
      <w:szCs w:val="21"/>
    </w:rPr>
  </w:style>
  <w:style w:type="paragraph" w:customStyle="1" w:styleId="75">
    <w:name w:val="xl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rPr>
  </w:style>
  <w:style w:type="paragraph" w:customStyle="1" w:styleId="76">
    <w:name w:val="xl31"/>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b/>
      <w:bCs/>
    </w:rPr>
  </w:style>
  <w:style w:type="paragraph" w:customStyle="1" w:styleId="77">
    <w:name w:val="一级条标题"/>
    <w:basedOn w:val="78"/>
    <w:next w:val="1"/>
    <w:qFormat/>
    <w:uiPriority w:val="0"/>
    <w:pPr>
      <w:spacing w:before="0" w:beforeLines="0" w:after="0" w:afterLines="0"/>
      <w:ind w:left="0"/>
      <w:outlineLvl w:val="2"/>
    </w:pPr>
    <w:rPr>
      <w:rFonts w:eastAsia="宋体"/>
      <w:b/>
      <w:sz w:val="28"/>
    </w:rPr>
  </w:style>
  <w:style w:type="paragraph" w:customStyle="1" w:styleId="78">
    <w:name w:val="章标题"/>
    <w:next w:val="1"/>
    <w:qFormat/>
    <w:uiPriority w:val="0"/>
    <w:pPr>
      <w:spacing w:before="156" w:beforeLines="50" w:after="156" w:afterLines="50"/>
      <w:ind w:left="315"/>
      <w:jc w:val="both"/>
      <w:outlineLvl w:val="1"/>
    </w:pPr>
    <w:rPr>
      <w:rFonts w:ascii="黑体" w:hAnsi="Calibri" w:eastAsia="黑体" w:cs="Times New Roman"/>
      <w:sz w:val="21"/>
      <w:lang w:val="en-US" w:eastAsia="zh-CN" w:bidi="ar-SA"/>
    </w:rPr>
  </w:style>
  <w:style w:type="paragraph" w:customStyle="1" w:styleId="79">
    <w:name w:val="Head3GRN"/>
    <w:basedOn w:val="5"/>
    <w:qFormat/>
    <w:uiPriority w:val="0"/>
    <w:pPr>
      <w:keepNext w:val="0"/>
      <w:keepLines w:val="0"/>
      <w:widowControl/>
      <w:tabs>
        <w:tab w:val="left" w:pos="1260"/>
      </w:tabs>
      <w:spacing w:before="0" w:after="0" w:line="240" w:lineRule="auto"/>
      <w:ind w:left="900"/>
      <w:outlineLvl w:val="9"/>
    </w:pPr>
    <w:rPr>
      <w:rFonts w:ascii="Times New Roman" w:hAnsi="Times New Roman" w:eastAsia="PMingLiU"/>
      <w:b w:val="0"/>
      <w:color w:val="008000"/>
      <w:sz w:val="21"/>
      <w:szCs w:val="21"/>
      <w:lang w:eastAsia="zh-TW"/>
    </w:rPr>
  </w:style>
  <w:style w:type="paragraph" w:customStyle="1" w:styleId="80">
    <w:name w:val="xl84"/>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rPr>
  </w:style>
  <w:style w:type="paragraph" w:customStyle="1" w:styleId="81">
    <w:name w:val="xl62"/>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rPr>
  </w:style>
  <w:style w:type="paragraph" w:customStyle="1" w:styleId="82">
    <w:name w:val="xl78"/>
    <w:basedOn w:val="1"/>
    <w:qFormat/>
    <w:uiPriority w:val="0"/>
    <w:pPr>
      <w:widowControl/>
      <w:pBdr>
        <w:top w:val="single" w:color="auto" w:sz="4" w:space="0"/>
        <w:bottom w:val="single" w:color="auto" w:sz="8" w:space="0"/>
      </w:pBdr>
      <w:spacing w:before="100" w:beforeAutospacing="1" w:after="100" w:afterAutospacing="1"/>
      <w:jc w:val="center"/>
    </w:pPr>
    <w:rPr>
      <w:rFonts w:ascii="宋体" w:hAnsi="宋体"/>
    </w:rPr>
  </w:style>
  <w:style w:type="paragraph" w:customStyle="1" w:styleId="83">
    <w:name w:val="xl83"/>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rPr>
  </w:style>
  <w:style w:type="paragraph" w:customStyle="1" w:styleId="84">
    <w:name w:val="xl27"/>
    <w:basedOn w:val="1"/>
    <w:qFormat/>
    <w:uiPriority w:val="0"/>
    <w:pPr>
      <w:widowControl/>
      <w:pBdr>
        <w:top w:val="single" w:color="auto" w:sz="8" w:space="0"/>
        <w:bottom w:val="single" w:color="auto" w:sz="8" w:space="0"/>
      </w:pBdr>
      <w:spacing w:before="100" w:beforeAutospacing="1" w:after="100" w:afterAutospacing="1"/>
      <w:jc w:val="left"/>
      <w:textAlignment w:val="bottom"/>
    </w:pPr>
    <w:rPr>
      <w:rFonts w:ascii="宋体" w:hAnsi="宋体"/>
      <w:b/>
      <w:bCs/>
    </w:rPr>
  </w:style>
  <w:style w:type="paragraph" w:customStyle="1" w:styleId="85">
    <w:name w:val="xl49"/>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pPr>
    <w:rPr>
      <w:rFonts w:ascii="宋体" w:hAnsi="宋体"/>
    </w:rPr>
  </w:style>
  <w:style w:type="paragraph" w:customStyle="1" w:styleId="86">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rPr>
  </w:style>
  <w:style w:type="paragraph" w:customStyle="1" w:styleId="87">
    <w:name w:val="xl63"/>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rPr>
  </w:style>
  <w:style w:type="paragraph" w:customStyle="1" w:styleId="88">
    <w:name w:val="xl70"/>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rPr>
  </w:style>
  <w:style w:type="paragraph" w:customStyle="1" w:styleId="89">
    <w:name w:val="xl37"/>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textAlignment w:val="top"/>
    </w:pPr>
    <w:rPr>
      <w:rFonts w:ascii="宋体" w:hAnsi="宋体"/>
    </w:rPr>
  </w:style>
  <w:style w:type="paragraph" w:customStyle="1" w:styleId="90">
    <w:name w:val="xl72"/>
    <w:basedOn w:val="1"/>
    <w:qFormat/>
    <w:uiPriority w:val="0"/>
    <w:pPr>
      <w:widowControl/>
      <w:pBdr>
        <w:top w:val="single" w:color="auto" w:sz="8" w:space="0"/>
        <w:left w:val="single" w:color="auto" w:sz="8" w:space="0"/>
      </w:pBdr>
      <w:spacing w:before="100" w:beforeAutospacing="1" w:after="100" w:afterAutospacing="1"/>
      <w:jc w:val="center"/>
    </w:pPr>
    <w:rPr>
      <w:rFonts w:ascii="宋体" w:hAnsi="宋体"/>
    </w:rPr>
  </w:style>
  <w:style w:type="paragraph" w:customStyle="1" w:styleId="91">
    <w:name w:val="font5"/>
    <w:basedOn w:val="1"/>
    <w:qFormat/>
    <w:uiPriority w:val="0"/>
    <w:pPr>
      <w:widowControl/>
      <w:spacing w:before="100" w:beforeAutospacing="1" w:after="100" w:afterAutospacing="1"/>
      <w:jc w:val="left"/>
    </w:pPr>
    <w:rPr>
      <w:rFonts w:hint="eastAsia" w:ascii="宋体" w:hAnsi="宋体"/>
      <w:sz w:val="18"/>
      <w:szCs w:val="18"/>
    </w:rPr>
  </w:style>
  <w:style w:type="paragraph" w:customStyle="1" w:styleId="92">
    <w:name w:val="统一标题一"/>
    <w:basedOn w:val="1"/>
    <w:qFormat/>
    <w:uiPriority w:val="0"/>
    <w:pPr>
      <w:widowControl/>
      <w:spacing w:after="160" w:line="240" w:lineRule="exact"/>
      <w:ind w:left="100" w:leftChars="100" w:right="100" w:rightChars="100"/>
      <w:jc w:val="left"/>
    </w:pPr>
    <w:rPr>
      <w:rFonts w:ascii="Verdana" w:hAnsi="Verdana"/>
      <w:sz w:val="44"/>
      <w:lang w:eastAsia="en-US"/>
    </w:rPr>
  </w:style>
  <w:style w:type="paragraph" w:customStyle="1" w:styleId="93">
    <w:name w:val="xl3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b/>
      <w:bCs/>
    </w:rPr>
  </w:style>
  <w:style w:type="paragraph" w:customStyle="1" w:styleId="94">
    <w:name w:val="xl82"/>
    <w:basedOn w:val="1"/>
    <w:qFormat/>
    <w:uiPriority w:val="0"/>
    <w:pPr>
      <w:widowControl/>
      <w:pBdr>
        <w:top w:val="single" w:color="auto" w:sz="8" w:space="0"/>
      </w:pBdr>
      <w:spacing w:before="100" w:beforeAutospacing="1" w:after="100" w:afterAutospacing="1"/>
      <w:jc w:val="center"/>
    </w:pPr>
    <w:rPr>
      <w:rFonts w:ascii="宋体" w:hAnsi="宋体"/>
    </w:rPr>
  </w:style>
  <w:style w:type="paragraph" w:customStyle="1" w:styleId="95">
    <w:name w:val="xl2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bottom"/>
    </w:pPr>
    <w:rPr>
      <w:rFonts w:ascii="宋体" w:hAnsi="宋体"/>
      <w:b/>
      <w:bCs/>
    </w:rPr>
  </w:style>
  <w:style w:type="paragraph" w:customStyle="1" w:styleId="96">
    <w:name w:val="xl71"/>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rPr>
  </w:style>
  <w:style w:type="paragraph" w:customStyle="1" w:styleId="97">
    <w:name w:val="xl5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rPr>
  </w:style>
  <w:style w:type="paragraph" w:customStyle="1" w:styleId="98">
    <w:name w:val="xl3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top"/>
    </w:pPr>
    <w:rPr>
      <w:rFonts w:ascii="Arial" w:hAnsi="Arial" w:cs="Arial"/>
    </w:rPr>
  </w:style>
  <w:style w:type="paragraph" w:customStyle="1" w:styleId="99">
    <w:name w:val="默认段落字体 Para Char Char Char Char Char Char Char"/>
    <w:basedOn w:val="1"/>
    <w:qFormat/>
    <w:uiPriority w:val="0"/>
    <w:rPr>
      <w:szCs w:val="24"/>
    </w:rPr>
  </w:style>
  <w:style w:type="paragraph" w:customStyle="1" w:styleId="10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sz w:val="24"/>
      <w:szCs w:val="24"/>
    </w:rPr>
  </w:style>
  <w:style w:type="paragraph" w:customStyle="1" w:styleId="101">
    <w:name w:val="标书标题22"/>
    <w:basedOn w:val="4"/>
    <w:next w:val="1"/>
    <w:qFormat/>
    <w:uiPriority w:val="0"/>
    <w:pPr>
      <w:pageBreakBefore/>
      <w:numPr>
        <w:ilvl w:val="2"/>
        <w:numId w:val="3"/>
      </w:numPr>
      <w:tabs>
        <w:tab w:val="left" w:pos="567"/>
        <w:tab w:val="clear" w:pos="709"/>
      </w:tabs>
      <w:spacing w:line="415" w:lineRule="auto"/>
      <w:ind w:left="567" w:hanging="567"/>
    </w:pPr>
    <w:rPr>
      <w:rFonts w:ascii="Arial" w:hAnsi="Arial"/>
      <w:color w:val="auto"/>
      <w:kern w:val="2"/>
      <w:sz w:val="32"/>
    </w:rPr>
  </w:style>
  <w:style w:type="paragraph" w:customStyle="1" w:styleId="102">
    <w:name w:val="正文段"/>
    <w:basedOn w:val="1"/>
    <w:qFormat/>
    <w:uiPriority w:val="0"/>
    <w:pPr>
      <w:widowControl/>
      <w:adjustRightInd w:val="0"/>
      <w:spacing w:after="240" w:line="360" w:lineRule="atLeast"/>
      <w:ind w:firstLine="454"/>
      <w:textAlignment w:val="bottom"/>
    </w:pPr>
    <w:rPr>
      <w:rFonts w:ascii="宋体"/>
      <w:sz w:val="24"/>
    </w:rPr>
  </w:style>
  <w:style w:type="paragraph" w:customStyle="1" w:styleId="103">
    <w:name w:val="text"/>
    <w:basedOn w:val="1"/>
    <w:qFormat/>
    <w:uiPriority w:val="0"/>
    <w:pPr>
      <w:widowControl/>
      <w:spacing w:before="100" w:beforeAutospacing="1" w:after="100" w:afterAutospacing="1"/>
      <w:jc w:val="left"/>
    </w:pPr>
    <w:rPr>
      <w:rFonts w:ascii="ˎ̥" w:hAnsi="ˎ̥" w:cs="宋体"/>
      <w:color w:val="000000"/>
      <w:sz w:val="24"/>
      <w:szCs w:val="24"/>
    </w:rPr>
  </w:style>
  <w:style w:type="paragraph" w:customStyle="1" w:styleId="104">
    <w:name w:val="xl57"/>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宋体" w:hAnsi="宋体"/>
    </w:rPr>
  </w:style>
  <w:style w:type="paragraph" w:customStyle="1" w:styleId="105">
    <w:name w:val="二"/>
    <w:basedOn w:val="1"/>
    <w:next w:val="30"/>
    <w:qFormat/>
    <w:uiPriority w:val="0"/>
    <w:pPr>
      <w:spacing w:line="360" w:lineRule="auto"/>
      <w:ind w:firstLine="480" w:firstLineChars="200"/>
    </w:pPr>
    <w:rPr>
      <w:rFonts w:ascii="宋体" w:hAnsi="宋体"/>
      <w:sz w:val="24"/>
      <w:szCs w:val="24"/>
    </w:rPr>
  </w:style>
  <w:style w:type="paragraph" w:customStyle="1" w:styleId="106">
    <w:name w:val="font6"/>
    <w:basedOn w:val="1"/>
    <w:qFormat/>
    <w:uiPriority w:val="0"/>
    <w:pPr>
      <w:widowControl/>
      <w:spacing w:before="100" w:beforeAutospacing="1" w:after="100" w:afterAutospacing="1"/>
      <w:jc w:val="left"/>
    </w:pPr>
    <w:rPr>
      <w:rFonts w:ascii="Arial" w:hAnsi="Arial" w:cs="Arial"/>
    </w:rPr>
  </w:style>
  <w:style w:type="paragraph" w:customStyle="1" w:styleId="107">
    <w:name w:val="xl60"/>
    <w:basedOn w:val="1"/>
    <w:qFormat/>
    <w:uiPriority w:val="0"/>
    <w:pPr>
      <w:widowControl/>
      <w:pBdr>
        <w:left w:val="single" w:color="auto" w:sz="8" w:space="0"/>
      </w:pBdr>
      <w:spacing w:before="100" w:beforeAutospacing="1" w:after="100" w:afterAutospacing="1"/>
      <w:jc w:val="center"/>
    </w:pPr>
    <w:rPr>
      <w:rFonts w:ascii="宋体" w:hAnsi="宋体"/>
    </w:rPr>
  </w:style>
  <w:style w:type="paragraph" w:customStyle="1" w:styleId="108">
    <w:name w:val="xl26"/>
    <w:basedOn w:val="1"/>
    <w:qFormat/>
    <w:uiPriority w:val="0"/>
    <w:pPr>
      <w:widowControl/>
      <w:pBdr>
        <w:top w:val="single" w:color="auto" w:sz="8" w:space="0"/>
        <w:left w:val="single" w:color="auto" w:sz="8" w:space="0"/>
        <w:bottom w:val="single" w:color="auto" w:sz="8" w:space="0"/>
      </w:pBdr>
      <w:spacing w:before="100" w:beforeAutospacing="1" w:after="100" w:afterAutospacing="1"/>
      <w:jc w:val="left"/>
      <w:textAlignment w:val="bottom"/>
    </w:pPr>
    <w:rPr>
      <w:rFonts w:ascii="宋体" w:hAnsi="宋体"/>
      <w:b/>
      <w:bCs/>
    </w:rPr>
  </w:style>
  <w:style w:type="paragraph" w:customStyle="1" w:styleId="109">
    <w:name w:val="xl5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rPr>
  </w:style>
  <w:style w:type="paragraph" w:customStyle="1" w:styleId="110">
    <w:name w:val="xl3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top"/>
    </w:pPr>
    <w:rPr>
      <w:rFonts w:ascii="Arial" w:hAnsi="Arial" w:cs="Arial"/>
    </w:rPr>
  </w:style>
  <w:style w:type="paragraph" w:customStyle="1" w:styleId="111">
    <w:name w:val="标书标题11"/>
    <w:basedOn w:val="3"/>
    <w:next w:val="1"/>
    <w:qFormat/>
    <w:uiPriority w:val="0"/>
    <w:pPr>
      <w:pageBreakBefore/>
      <w:numPr>
        <w:ilvl w:val="0"/>
        <w:numId w:val="3"/>
      </w:numPr>
      <w:jc w:val="center"/>
    </w:pPr>
    <w:rPr>
      <w:rFonts w:ascii="黑体" w:hAnsi="Arial" w:eastAsia="黑体"/>
      <w:sz w:val="36"/>
      <w:szCs w:val="36"/>
    </w:rPr>
  </w:style>
  <w:style w:type="paragraph" w:customStyle="1" w:styleId="112">
    <w:name w:val="xl86"/>
    <w:basedOn w:val="1"/>
    <w:qFormat/>
    <w:uiPriority w:val="0"/>
    <w:pPr>
      <w:widowControl/>
      <w:pBdr>
        <w:right w:val="single" w:color="auto" w:sz="8" w:space="0"/>
      </w:pBdr>
      <w:spacing w:before="100" w:beforeAutospacing="1" w:after="100" w:afterAutospacing="1"/>
      <w:jc w:val="center"/>
    </w:pPr>
    <w:rPr>
      <w:rFonts w:ascii="宋体" w:hAnsi="宋体"/>
      <w:sz w:val="24"/>
      <w:szCs w:val="24"/>
    </w:rPr>
  </w:style>
  <w:style w:type="paragraph" w:customStyle="1" w:styleId="113">
    <w:name w:val="xl64"/>
    <w:basedOn w:val="1"/>
    <w:qFormat/>
    <w:uiPriority w:val="0"/>
    <w:pPr>
      <w:widowControl/>
      <w:pBdr>
        <w:right w:val="single" w:color="auto" w:sz="8" w:space="0"/>
      </w:pBdr>
      <w:spacing w:before="100" w:beforeAutospacing="1" w:after="100" w:afterAutospacing="1"/>
      <w:jc w:val="center"/>
    </w:pPr>
    <w:rPr>
      <w:rFonts w:ascii="宋体" w:hAnsi="宋体"/>
    </w:rPr>
  </w:style>
  <w:style w:type="paragraph" w:customStyle="1" w:styleId="114">
    <w:name w:val="正文1"/>
    <w:qFormat/>
    <w:uiPriority w:val="0"/>
    <w:pPr>
      <w:widowControl w:val="0"/>
      <w:adjustRightInd w:val="0"/>
      <w:spacing w:line="360" w:lineRule="atLeast"/>
      <w:textAlignment w:val="baseline"/>
    </w:pPr>
    <w:rPr>
      <w:rFonts w:ascii="Tms Rmn" w:hAnsi="Tms Rmn" w:eastAsia="宋体" w:cs="Times New Roman"/>
      <w:lang w:val="en-US" w:eastAsia="zh-CN" w:bidi="ar-SA"/>
    </w:rPr>
  </w:style>
  <w:style w:type="paragraph" w:customStyle="1" w:styleId="115">
    <w:name w:val="xl4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rPr>
  </w:style>
  <w:style w:type="paragraph" w:customStyle="1" w:styleId="116">
    <w:name w:val="二级条标题"/>
    <w:basedOn w:val="77"/>
    <w:next w:val="1"/>
    <w:qFormat/>
    <w:uiPriority w:val="0"/>
    <w:pPr>
      <w:spacing w:line="60" w:lineRule="atLeast"/>
    </w:pPr>
    <w:rPr>
      <w:b w:val="0"/>
    </w:rPr>
  </w:style>
  <w:style w:type="paragraph" w:customStyle="1" w:styleId="11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s="Arial"/>
      <w:sz w:val="24"/>
      <w:szCs w:val="24"/>
    </w:rPr>
  </w:style>
  <w:style w:type="paragraph" w:customStyle="1" w:styleId="118">
    <w:name w:val="xl51"/>
    <w:basedOn w:val="1"/>
    <w:qFormat/>
    <w:uiPriority w:val="0"/>
    <w:pPr>
      <w:widowControl/>
      <w:pBdr>
        <w:top w:val="single" w:color="auto" w:sz="4" w:space="0"/>
        <w:left w:val="single" w:color="auto" w:sz="8" w:space="0"/>
        <w:right w:val="single" w:color="auto" w:sz="8" w:space="0"/>
      </w:pBdr>
      <w:spacing w:before="100" w:beforeAutospacing="1" w:after="100" w:afterAutospacing="1"/>
      <w:jc w:val="center"/>
    </w:pPr>
    <w:rPr>
      <w:rFonts w:ascii="宋体" w:hAnsi="宋体"/>
    </w:rPr>
  </w:style>
  <w:style w:type="paragraph" w:customStyle="1" w:styleId="119">
    <w:name w:val="标书标题33"/>
    <w:basedOn w:val="5"/>
    <w:next w:val="1"/>
    <w:qFormat/>
    <w:uiPriority w:val="0"/>
    <w:pPr>
      <w:numPr>
        <w:ilvl w:val="3"/>
        <w:numId w:val="3"/>
      </w:numPr>
      <w:tabs>
        <w:tab w:val="left" w:pos="709"/>
        <w:tab w:val="clear" w:pos="851"/>
      </w:tabs>
      <w:spacing w:line="415" w:lineRule="auto"/>
      <w:ind w:left="709" w:hanging="709"/>
    </w:pPr>
    <w:rPr>
      <w:rFonts w:ascii="Arial" w:hAnsi="Arial"/>
      <w:b w:val="0"/>
      <w:bCs/>
      <w:sz w:val="32"/>
      <w:szCs w:val="32"/>
    </w:rPr>
  </w:style>
  <w:style w:type="paragraph" w:customStyle="1" w:styleId="120">
    <w:name w:val="Char1"/>
    <w:basedOn w:val="1"/>
    <w:qFormat/>
    <w:uiPriority w:val="0"/>
    <w:pPr>
      <w:widowControl/>
      <w:spacing w:after="160" w:line="240" w:lineRule="exact"/>
      <w:jc w:val="left"/>
    </w:pPr>
    <w:rPr>
      <w:rFonts w:ascii="Verdana" w:hAnsi="Verdana" w:eastAsia="仿宋_GB2312"/>
      <w:sz w:val="24"/>
      <w:lang w:eastAsia="en-US"/>
    </w:rPr>
  </w:style>
  <w:style w:type="paragraph" w:customStyle="1" w:styleId="121">
    <w:name w:val="Char Char Char Char Char Char Char Char Char Char Char Char Char Char Char Char Char"/>
    <w:basedOn w:val="1"/>
    <w:qFormat/>
    <w:uiPriority w:val="0"/>
    <w:pPr>
      <w:widowControl/>
      <w:spacing w:after="160" w:line="240" w:lineRule="exact"/>
      <w:jc w:val="left"/>
    </w:pPr>
    <w:rPr>
      <w:rFonts w:ascii="Verdana" w:hAnsi="Verdana" w:eastAsia="仿宋_GB2312"/>
      <w:sz w:val="24"/>
      <w:lang w:eastAsia="en-US"/>
    </w:rPr>
  </w:style>
  <w:style w:type="paragraph" w:customStyle="1" w:styleId="122">
    <w:name w:val="xl30"/>
    <w:basedOn w:val="1"/>
    <w:qFormat/>
    <w:uiPriority w:val="0"/>
    <w:pPr>
      <w:widowControl/>
      <w:pBdr>
        <w:right w:val="single" w:color="auto" w:sz="8" w:space="0"/>
      </w:pBdr>
      <w:spacing w:before="100" w:beforeAutospacing="1" w:after="100" w:afterAutospacing="1"/>
      <w:jc w:val="left"/>
    </w:pPr>
    <w:rPr>
      <w:rFonts w:ascii="宋体" w:hAnsi="宋体"/>
      <w:sz w:val="24"/>
      <w:szCs w:val="24"/>
    </w:rPr>
  </w:style>
  <w:style w:type="paragraph" w:customStyle="1" w:styleId="123">
    <w:name w:val="Char Char Char Char Char Char Char Char Char Char Char Char Char Char"/>
    <w:basedOn w:val="1"/>
    <w:qFormat/>
    <w:uiPriority w:val="0"/>
    <w:rPr>
      <w:rFonts w:ascii="Tahoma" w:hAnsi="Tahoma"/>
      <w:sz w:val="24"/>
    </w:rPr>
  </w:style>
  <w:style w:type="paragraph" w:customStyle="1" w:styleId="124">
    <w:name w:val="xl56"/>
    <w:basedOn w:val="1"/>
    <w:qFormat/>
    <w:uiPriority w:val="0"/>
    <w:pPr>
      <w:widowControl/>
      <w:pBdr>
        <w:top w:val="single" w:color="auto" w:sz="4" w:space="0"/>
      </w:pBdr>
      <w:spacing w:before="100" w:beforeAutospacing="1" w:after="100" w:afterAutospacing="1"/>
      <w:jc w:val="center"/>
    </w:pPr>
    <w:rPr>
      <w:rFonts w:ascii="宋体" w:hAnsi="宋体"/>
    </w:rPr>
  </w:style>
  <w:style w:type="paragraph" w:customStyle="1" w:styleId="125">
    <w:name w:val="Default Text"/>
    <w:basedOn w:val="1"/>
    <w:qFormat/>
    <w:uiPriority w:val="0"/>
    <w:pPr>
      <w:autoSpaceDE w:val="0"/>
      <w:autoSpaceDN w:val="0"/>
      <w:adjustRightInd w:val="0"/>
      <w:jc w:val="left"/>
    </w:pPr>
    <w:rPr>
      <w:sz w:val="24"/>
      <w:szCs w:val="24"/>
    </w:rPr>
  </w:style>
  <w:style w:type="paragraph" w:customStyle="1" w:styleId="126">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127">
    <w:name w:val="xl87"/>
    <w:basedOn w:val="1"/>
    <w:qFormat/>
    <w:uiPriority w:val="0"/>
    <w:pPr>
      <w:widowControl/>
      <w:pBdr>
        <w:right w:val="single" w:color="auto" w:sz="8" w:space="0"/>
      </w:pBdr>
      <w:spacing w:before="100" w:beforeAutospacing="1" w:after="100" w:afterAutospacing="1"/>
      <w:jc w:val="center"/>
    </w:pPr>
    <w:rPr>
      <w:rFonts w:ascii="Arial" w:hAnsi="Arial" w:cs="Arial"/>
      <w:sz w:val="24"/>
      <w:szCs w:val="24"/>
    </w:rPr>
  </w:style>
  <w:style w:type="paragraph" w:customStyle="1" w:styleId="12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sz w:val="24"/>
      <w:szCs w:val="24"/>
    </w:rPr>
  </w:style>
  <w:style w:type="paragraph" w:customStyle="1" w:styleId="129">
    <w:name w:val="宋体"/>
    <w:basedOn w:val="19"/>
    <w:qFormat/>
    <w:uiPriority w:val="0"/>
    <w:pPr>
      <w:widowControl/>
      <w:adjustRightInd/>
      <w:snapToGrid/>
      <w:spacing w:after="0" w:afterLines="0" w:line="360" w:lineRule="auto"/>
      <w:ind w:left="800" w:leftChars="0" w:firstLine="499" w:firstLineChars="0"/>
      <w:jc w:val="left"/>
      <w:textAlignment w:val="auto"/>
    </w:pPr>
    <w:rPr>
      <w:rFonts w:ascii="宋体" w:eastAsia="宋体"/>
      <w:bCs w:val="0"/>
      <w:color w:val="000000"/>
      <w:szCs w:val="24"/>
    </w:rPr>
  </w:style>
  <w:style w:type="paragraph" w:customStyle="1" w:styleId="130">
    <w:name w:val="xl76"/>
    <w:basedOn w:val="1"/>
    <w:qFormat/>
    <w:uiPriority w:val="0"/>
    <w:pPr>
      <w:widowControl/>
      <w:pBdr>
        <w:top w:val="single" w:color="auto" w:sz="4" w:space="0"/>
        <w:bottom w:val="single" w:color="auto" w:sz="8" w:space="0"/>
        <w:right w:val="single" w:color="auto" w:sz="8" w:space="0"/>
      </w:pBdr>
      <w:spacing w:before="100" w:beforeAutospacing="1" w:after="100" w:afterAutospacing="1"/>
      <w:jc w:val="center"/>
    </w:pPr>
    <w:rPr>
      <w:rFonts w:ascii="宋体" w:hAnsi="宋体"/>
    </w:rPr>
  </w:style>
  <w:style w:type="paragraph" w:customStyle="1" w:styleId="131">
    <w:name w:val="项目符号A"/>
    <w:basedOn w:val="1"/>
    <w:qFormat/>
    <w:uiPriority w:val="0"/>
    <w:pPr>
      <w:spacing w:line="415" w:lineRule="auto"/>
      <w:ind w:left="567" w:leftChars="270" w:firstLine="241" w:firstLineChars="100"/>
    </w:pPr>
    <w:rPr>
      <w:rFonts w:ascii="宋体" w:hAnsi="宋体"/>
      <w:b/>
      <w:sz w:val="24"/>
      <w:szCs w:val="24"/>
    </w:rPr>
  </w:style>
  <w:style w:type="paragraph" w:customStyle="1" w:styleId="132">
    <w:name w:val="xl74"/>
    <w:basedOn w:val="1"/>
    <w:qFormat/>
    <w:uiPriority w:val="0"/>
    <w:pPr>
      <w:widowControl/>
      <w:pBdr>
        <w:top w:val="single" w:color="auto" w:sz="4" w:space="0"/>
        <w:left w:val="single" w:color="auto" w:sz="8" w:space="0"/>
        <w:bottom w:val="single" w:color="auto" w:sz="8" w:space="0"/>
        <w:right w:val="single" w:color="auto" w:sz="8" w:space="0"/>
      </w:pBdr>
      <w:spacing w:before="100" w:beforeAutospacing="1" w:after="100" w:afterAutospacing="1"/>
      <w:jc w:val="left"/>
    </w:pPr>
    <w:rPr>
      <w:rFonts w:ascii="宋体" w:hAnsi="宋体"/>
    </w:rPr>
  </w:style>
  <w:style w:type="paragraph" w:customStyle="1" w:styleId="133">
    <w:name w:val="xl28"/>
    <w:basedOn w:val="1"/>
    <w:qFormat/>
    <w:uiPriority w:val="0"/>
    <w:pPr>
      <w:widowControl/>
      <w:spacing w:before="100" w:beforeAutospacing="1" w:after="100" w:afterAutospacing="1"/>
      <w:jc w:val="left"/>
      <w:textAlignment w:val="bottom"/>
    </w:pPr>
    <w:rPr>
      <w:rFonts w:ascii="宋体" w:hAnsi="宋体"/>
    </w:rPr>
  </w:style>
  <w:style w:type="paragraph" w:customStyle="1" w:styleId="134">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rPr>
  </w:style>
  <w:style w:type="paragraph" w:customStyle="1" w:styleId="135">
    <w:name w:val="xl5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rPr>
  </w:style>
  <w:style w:type="paragraph" w:customStyle="1" w:styleId="136">
    <w:name w:val="xl90"/>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rPr>
  </w:style>
  <w:style w:type="paragraph" w:customStyle="1" w:styleId="137">
    <w:name w:val="xl6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rPr>
  </w:style>
  <w:style w:type="paragraph" w:customStyle="1" w:styleId="138">
    <w:name w:val="xl69"/>
    <w:basedOn w:val="1"/>
    <w:qFormat/>
    <w:uiPriority w:val="0"/>
    <w:pPr>
      <w:widowControl/>
      <w:pBdr>
        <w:top w:val="single" w:color="auto" w:sz="8" w:space="0"/>
        <w:bottom w:val="single" w:color="auto" w:sz="4" w:space="0"/>
        <w:right w:val="single" w:color="auto" w:sz="8" w:space="0"/>
      </w:pBdr>
      <w:spacing w:before="100" w:beforeAutospacing="1" w:after="100" w:afterAutospacing="1"/>
      <w:jc w:val="center"/>
    </w:pPr>
    <w:rPr>
      <w:rFonts w:ascii="宋体" w:hAnsi="宋体"/>
    </w:rPr>
  </w:style>
  <w:style w:type="paragraph" w:customStyle="1" w:styleId="139">
    <w:name w:val="样式 二级条标题 + 行距: 固定值 22 磅"/>
    <w:basedOn w:val="116"/>
    <w:qFormat/>
    <w:uiPriority w:val="0"/>
    <w:pPr>
      <w:spacing w:line="440" w:lineRule="exact"/>
      <w:ind w:left="210"/>
    </w:pPr>
    <w:rPr>
      <w:rFonts w:cs="宋体"/>
    </w:rPr>
  </w:style>
  <w:style w:type="paragraph" w:customStyle="1" w:styleId="140">
    <w:name w:val="xl43"/>
    <w:basedOn w:val="1"/>
    <w:qFormat/>
    <w:uiPriority w:val="0"/>
    <w:pPr>
      <w:widowControl/>
      <w:pBdr>
        <w:top w:val="single" w:color="auto" w:sz="4" w:space="0"/>
        <w:left w:val="single" w:color="auto" w:sz="8" w:space="0"/>
        <w:bottom w:val="single" w:color="auto" w:sz="4" w:space="0"/>
        <w:right w:val="single" w:color="auto" w:sz="8" w:space="0"/>
      </w:pBdr>
      <w:spacing w:before="100" w:beforeAutospacing="1" w:after="100" w:afterAutospacing="1"/>
      <w:jc w:val="center"/>
    </w:pPr>
    <w:rPr>
      <w:rFonts w:ascii="宋体" w:hAnsi="宋体"/>
    </w:rPr>
  </w:style>
  <w:style w:type="paragraph" w:customStyle="1" w:styleId="141">
    <w:name w:val="Char2"/>
    <w:basedOn w:val="1"/>
    <w:qFormat/>
    <w:uiPriority w:val="0"/>
    <w:pPr>
      <w:ind w:left="432" w:hanging="432"/>
    </w:pPr>
    <w:rPr>
      <w:sz w:val="24"/>
      <w:szCs w:val="24"/>
    </w:rPr>
  </w:style>
  <w:style w:type="paragraph" w:customStyle="1" w:styleId="142">
    <w:name w:val="Char Char Char Char Char Char Char Char Char Char Char Char Char Char Char Char Char1"/>
    <w:basedOn w:val="1"/>
    <w:qFormat/>
    <w:uiPriority w:val="0"/>
    <w:pPr>
      <w:widowControl/>
      <w:spacing w:after="160" w:line="240" w:lineRule="exact"/>
      <w:jc w:val="left"/>
    </w:pPr>
    <w:rPr>
      <w:rFonts w:ascii="Verdana" w:hAnsi="Verdana" w:eastAsia="仿宋_GB2312"/>
      <w:sz w:val="24"/>
      <w:lang w:eastAsia="en-US"/>
    </w:rPr>
  </w:style>
  <w:style w:type="paragraph" w:customStyle="1" w:styleId="143">
    <w:name w:val="xl4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rPr>
  </w:style>
  <w:style w:type="paragraph" w:customStyle="1" w:styleId="144">
    <w:name w:val="xl88"/>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rPr>
  </w:style>
  <w:style w:type="paragraph" w:customStyle="1" w:styleId="145">
    <w:name w:val="xl35"/>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top"/>
    </w:pPr>
    <w:rPr>
      <w:rFonts w:ascii="宋体" w:hAnsi="宋体"/>
    </w:rPr>
  </w:style>
  <w:style w:type="paragraph" w:customStyle="1" w:styleId="146">
    <w:name w:val="xl44"/>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rPr>
  </w:style>
  <w:style w:type="paragraph" w:customStyle="1" w:styleId="147">
    <w:name w:val="xl67"/>
    <w:basedOn w:val="1"/>
    <w:qFormat/>
    <w:uiPriority w:val="0"/>
    <w:pPr>
      <w:widowControl/>
      <w:pBdr>
        <w:right w:val="single" w:color="auto" w:sz="4" w:space="0"/>
      </w:pBdr>
      <w:spacing w:before="100" w:beforeAutospacing="1" w:after="100" w:afterAutospacing="1"/>
      <w:jc w:val="center"/>
    </w:pPr>
    <w:rPr>
      <w:rFonts w:ascii="宋体" w:hAnsi="宋体"/>
    </w:rPr>
  </w:style>
  <w:style w:type="paragraph" w:customStyle="1" w:styleId="148">
    <w:name w:val="xl40"/>
    <w:basedOn w:val="1"/>
    <w:qFormat/>
    <w:uiPriority w:val="0"/>
    <w:pPr>
      <w:widowControl/>
      <w:pBdr>
        <w:top w:val="single" w:color="auto" w:sz="8" w:space="0"/>
        <w:bottom w:val="single" w:color="auto" w:sz="8" w:space="0"/>
      </w:pBdr>
      <w:spacing w:before="100" w:beforeAutospacing="1" w:after="100" w:afterAutospacing="1"/>
      <w:jc w:val="center"/>
      <w:textAlignment w:val="top"/>
    </w:pPr>
    <w:rPr>
      <w:rFonts w:ascii="宋体" w:hAnsi="宋体"/>
    </w:rPr>
  </w:style>
  <w:style w:type="paragraph" w:customStyle="1" w:styleId="149">
    <w:name w:val="xl42"/>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rPr>
  </w:style>
  <w:style w:type="paragraph" w:customStyle="1" w:styleId="150">
    <w:name w:val="样式1"/>
    <w:basedOn w:val="6"/>
    <w:qFormat/>
    <w:uiPriority w:val="0"/>
    <w:pPr>
      <w:numPr>
        <w:numId w:val="0"/>
      </w:numPr>
      <w:adjustRightInd w:val="0"/>
      <w:snapToGrid w:val="0"/>
      <w:spacing w:before="280" w:after="290" w:line="360" w:lineRule="auto"/>
    </w:pPr>
    <w:rPr>
      <w:rFonts w:ascii="仿宋_GB2312" w:hAnsi="Arial" w:eastAsia="仿宋_GB2312"/>
      <w:b w:val="0"/>
      <w:bCs/>
      <w:spacing w:val="-2"/>
      <w:sz w:val="32"/>
      <w:szCs w:val="28"/>
    </w:rPr>
  </w:style>
  <w:style w:type="paragraph" w:customStyle="1" w:styleId="151">
    <w:name w:val="xl68"/>
    <w:basedOn w:val="1"/>
    <w:qFormat/>
    <w:uiPriority w:val="0"/>
    <w:pPr>
      <w:widowControl/>
      <w:spacing w:before="100" w:beforeAutospacing="1" w:after="100" w:afterAutospacing="1"/>
      <w:jc w:val="center"/>
    </w:pPr>
    <w:rPr>
      <w:rFonts w:ascii="宋体" w:hAnsi="宋体"/>
    </w:rPr>
  </w:style>
  <w:style w:type="paragraph" w:customStyle="1" w:styleId="152">
    <w:name w:val="xl6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rPr>
  </w:style>
  <w:style w:type="paragraph" w:customStyle="1" w:styleId="153">
    <w:name w:val="xl38"/>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top"/>
    </w:pPr>
    <w:rPr>
      <w:rFonts w:ascii="宋体" w:hAnsi="宋体"/>
    </w:rPr>
  </w:style>
  <w:style w:type="paragraph" w:customStyle="1" w:styleId="154">
    <w:name w:val="五级条标题"/>
    <w:basedOn w:val="1"/>
    <w:next w:val="1"/>
    <w:qFormat/>
    <w:uiPriority w:val="0"/>
    <w:pPr>
      <w:widowControl/>
      <w:spacing w:line="60" w:lineRule="atLeast"/>
      <w:outlineLvl w:val="6"/>
    </w:pPr>
    <w:rPr>
      <w:rFonts w:ascii="黑体"/>
      <w:sz w:val="28"/>
    </w:rPr>
  </w:style>
  <w:style w:type="paragraph" w:customStyle="1" w:styleId="155">
    <w:name w:val="xl93"/>
    <w:basedOn w:val="1"/>
    <w:qFormat/>
    <w:uiPriority w:val="0"/>
    <w:pPr>
      <w:widowControl/>
      <w:pBdr>
        <w:left w:val="single" w:color="auto" w:sz="8" w:space="0"/>
        <w:bottom w:val="single" w:color="auto" w:sz="4" w:space="0"/>
        <w:right w:val="single" w:color="auto" w:sz="8" w:space="0"/>
      </w:pBdr>
      <w:spacing w:before="100" w:beforeAutospacing="1" w:after="100" w:afterAutospacing="1"/>
      <w:jc w:val="center"/>
    </w:pPr>
    <w:rPr>
      <w:rFonts w:ascii="宋体" w:hAnsi="宋体"/>
    </w:rPr>
  </w:style>
  <w:style w:type="paragraph" w:customStyle="1" w:styleId="156">
    <w:name w:val="xl39"/>
    <w:basedOn w:val="1"/>
    <w:qFormat/>
    <w:uiPriority w:val="0"/>
    <w:pPr>
      <w:widowControl/>
      <w:pBdr>
        <w:top w:val="single" w:color="auto" w:sz="8" w:space="0"/>
        <w:bottom w:val="single" w:color="auto" w:sz="8" w:space="0"/>
        <w:right w:val="single" w:color="auto" w:sz="4" w:space="0"/>
      </w:pBdr>
      <w:spacing w:before="100" w:beforeAutospacing="1" w:after="100" w:afterAutospacing="1"/>
      <w:jc w:val="center"/>
      <w:textAlignment w:val="top"/>
    </w:pPr>
    <w:rPr>
      <w:rFonts w:ascii="宋体" w:hAnsi="宋体"/>
    </w:rPr>
  </w:style>
  <w:style w:type="paragraph" w:customStyle="1" w:styleId="157">
    <w:name w:val="技术报告正文"/>
    <w:basedOn w:val="1"/>
    <w:qFormat/>
    <w:uiPriority w:val="0"/>
    <w:pPr>
      <w:spacing w:before="156" w:beforeLines="50" w:line="440" w:lineRule="exact"/>
      <w:ind w:firstLine="480" w:firstLineChars="200"/>
    </w:pPr>
    <w:rPr>
      <w:rFonts w:cs="Arial"/>
      <w:sz w:val="28"/>
      <w:szCs w:val="24"/>
    </w:rPr>
  </w:style>
  <w:style w:type="paragraph" w:customStyle="1" w:styleId="158">
    <w:name w:val="xl2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bottom"/>
    </w:pPr>
    <w:rPr>
      <w:rFonts w:ascii="宋体" w:hAnsi="宋体"/>
      <w:b/>
      <w:bCs/>
    </w:rPr>
  </w:style>
  <w:style w:type="paragraph" w:customStyle="1" w:styleId="159">
    <w:name w:val="xl52"/>
    <w:basedOn w:val="1"/>
    <w:qFormat/>
    <w:uiPriority w:val="0"/>
    <w:pPr>
      <w:widowControl/>
      <w:pBdr>
        <w:top w:val="single" w:color="auto" w:sz="4" w:space="0"/>
        <w:right w:val="single" w:color="auto" w:sz="8" w:space="0"/>
      </w:pBdr>
      <w:spacing w:before="100" w:beforeAutospacing="1" w:after="100" w:afterAutospacing="1"/>
      <w:jc w:val="center"/>
    </w:pPr>
    <w:rPr>
      <w:rFonts w:ascii="宋体" w:hAnsi="宋体"/>
    </w:rPr>
  </w:style>
  <w:style w:type="paragraph" w:customStyle="1" w:styleId="160">
    <w:name w:val="xl53"/>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rPr>
  </w:style>
  <w:style w:type="character" w:customStyle="1" w:styleId="161">
    <w:name w:val="anav1"/>
    <w:qFormat/>
    <w:uiPriority w:val="0"/>
    <w:rPr>
      <w:rFonts w:hint="default" w:ascii="_x000B__x000C_" w:hAnsi="_x000B__x000C_"/>
      <w:color w:val="666666"/>
      <w:sz w:val="24"/>
      <w:szCs w:val="24"/>
      <w:u w:val="none"/>
    </w:rPr>
  </w:style>
  <w:style w:type="character" w:customStyle="1" w:styleId="162">
    <w:name w:val="unnamed1"/>
    <w:basedOn w:val="39"/>
    <w:qFormat/>
    <w:uiPriority w:val="0"/>
  </w:style>
  <w:style w:type="character" w:customStyle="1" w:styleId="163">
    <w:name w:val="ck1"/>
    <w:qFormat/>
    <w:uiPriority w:val="0"/>
    <w:rPr>
      <w:rFonts w:hint="default" w:ascii="ˎ̥" w:hAnsi="ˎ̥"/>
      <w:sz w:val="18"/>
      <w:szCs w:val="18"/>
      <w:u w:val="none"/>
    </w:rPr>
  </w:style>
  <w:style w:type="character" w:customStyle="1" w:styleId="164">
    <w:name w:val="big1"/>
    <w:qFormat/>
    <w:uiPriority w:val="0"/>
    <w:rPr>
      <w:sz w:val="18"/>
      <w:szCs w:val="18"/>
    </w:rPr>
  </w:style>
  <w:style w:type="character" w:customStyle="1" w:styleId="165">
    <w:name w:val="unnamed3"/>
    <w:basedOn w:val="39"/>
    <w:qFormat/>
    <w:uiPriority w:val="0"/>
  </w:style>
  <w:style w:type="character" w:customStyle="1" w:styleId="166">
    <w:name w:val="纯文本 字符"/>
    <w:link w:val="20"/>
    <w:qFormat/>
    <w:uiPriority w:val="0"/>
    <w:rPr>
      <w:rFonts w:ascii="宋体" w:hAnsi="Courier New" w:cs="Courier New"/>
      <w:kern w:val="2"/>
      <w:sz w:val="21"/>
      <w:szCs w:val="21"/>
    </w:rPr>
  </w:style>
  <w:style w:type="character" w:customStyle="1" w:styleId="167">
    <w:name w:val="正文文本缩进 字符"/>
    <w:link w:val="16"/>
    <w:qFormat/>
    <w:uiPriority w:val="0"/>
    <w:rPr>
      <w:rFonts w:eastAsia="宋体"/>
      <w:kern w:val="2"/>
      <w:sz w:val="21"/>
      <w:lang w:val="en-US" w:eastAsia="zh-CN" w:bidi="ar-SA"/>
    </w:rPr>
  </w:style>
  <w:style w:type="character" w:customStyle="1" w:styleId="168">
    <w:name w:val="样式 宋体 小四 下划线"/>
    <w:qFormat/>
    <w:uiPriority w:val="0"/>
    <w:rPr>
      <w:rFonts w:ascii="宋体" w:hAnsi="宋体"/>
      <w:sz w:val="24"/>
      <w:u w:val="single"/>
    </w:rPr>
  </w:style>
  <w:style w:type="character" w:customStyle="1" w:styleId="169">
    <w:name w:val="l11"/>
    <w:qFormat/>
    <w:uiPriority w:val="0"/>
    <w:rPr>
      <w:sz w:val="21"/>
      <w:szCs w:val="21"/>
    </w:rPr>
  </w:style>
  <w:style w:type="character" w:customStyle="1" w:styleId="170">
    <w:name w:val="日期 字符"/>
    <w:link w:val="22"/>
    <w:qFormat/>
    <w:uiPriority w:val="0"/>
    <w:rPr>
      <w:kern w:val="2"/>
      <w:sz w:val="21"/>
    </w:rPr>
  </w:style>
  <w:style w:type="character" w:customStyle="1" w:styleId="171">
    <w:name w:val="页脚 字符"/>
    <w:link w:val="25"/>
    <w:qFormat/>
    <w:uiPriority w:val="0"/>
    <w:rPr>
      <w:rFonts w:eastAsia="宋体"/>
      <w:kern w:val="2"/>
      <w:sz w:val="18"/>
      <w:lang w:val="en-US" w:eastAsia="zh-CN" w:bidi="ar-SA"/>
    </w:rPr>
  </w:style>
  <w:style w:type="character" w:customStyle="1" w:styleId="172">
    <w:name w:val="abcde"/>
    <w:basedOn w:val="39"/>
    <w:qFormat/>
    <w:uiPriority w:val="0"/>
  </w:style>
  <w:style w:type="character" w:customStyle="1" w:styleId="173">
    <w:name w:val="style61"/>
    <w:qFormat/>
    <w:uiPriority w:val="0"/>
    <w:rPr>
      <w:sz w:val="21"/>
      <w:szCs w:val="21"/>
    </w:rPr>
  </w:style>
  <w:style w:type="character" w:customStyle="1" w:styleId="174">
    <w:name w:val="标题 字符"/>
    <w:link w:val="35"/>
    <w:qFormat/>
    <w:uiPriority w:val="0"/>
    <w:rPr>
      <w:rFonts w:ascii="Cambria" w:hAnsi="Cambria" w:eastAsia="宋体"/>
      <w:color w:val="17365D"/>
      <w:spacing w:val="5"/>
      <w:kern w:val="28"/>
      <w:sz w:val="52"/>
      <w:szCs w:val="52"/>
      <w:lang w:val="en-US" w:eastAsia="en-US" w:bidi="en-US"/>
    </w:rPr>
  </w:style>
  <w:style w:type="character" w:customStyle="1" w:styleId="175">
    <w:name w:val="style51"/>
    <w:qFormat/>
    <w:uiPriority w:val="0"/>
    <w:rPr>
      <w:b/>
      <w:bCs/>
      <w:color w:val="000066"/>
      <w:sz w:val="38"/>
      <w:szCs w:val="38"/>
    </w:rPr>
  </w:style>
  <w:style w:type="character" w:customStyle="1" w:styleId="176">
    <w:name w:val="font2"/>
    <w:basedOn w:val="39"/>
    <w:qFormat/>
    <w:uiPriority w:val="0"/>
  </w:style>
  <w:style w:type="character" w:customStyle="1" w:styleId="177">
    <w:name w:val="标题 2 字符"/>
    <w:link w:val="4"/>
    <w:qFormat/>
    <w:uiPriority w:val="0"/>
    <w:rPr>
      <w:rFonts w:ascii="宋体" w:hAnsi="宋体"/>
      <w:b/>
      <w:bCs/>
      <w:color w:val="000000"/>
      <w:sz w:val="30"/>
      <w:szCs w:val="32"/>
    </w:rPr>
  </w:style>
  <w:style w:type="character" w:customStyle="1" w:styleId="178">
    <w:name w:val="text1"/>
    <w:qFormat/>
    <w:uiPriority w:val="0"/>
    <w:rPr>
      <w:rFonts w:hint="default" w:ascii="ˎ̥" w:hAnsi="ˎ̥"/>
      <w:color w:val="000000"/>
      <w:sz w:val="24"/>
      <w:szCs w:val="24"/>
    </w:rPr>
  </w:style>
  <w:style w:type="character" w:customStyle="1" w:styleId="179">
    <w:name w:val="正文文本 字符"/>
    <w:link w:val="2"/>
    <w:qFormat/>
    <w:uiPriority w:val="0"/>
    <w:rPr>
      <w:kern w:val="2"/>
      <w:sz w:val="21"/>
    </w:rPr>
  </w:style>
  <w:style w:type="character" w:customStyle="1" w:styleId="180">
    <w:name w:val="extended-address"/>
    <w:basedOn w:val="39"/>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tc1\Desktop\&#26426;&#30005;&#35774;&#22791;&#23433;&#35013;&#26631;&#20070;%20%20%209.28.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机电设备安装标书   9.28</Template>
  <Pages>55</Pages>
  <Words>4657</Words>
  <Characters>26546</Characters>
  <Lines>221</Lines>
  <Paragraphs>62</Paragraphs>
  <TotalTime>79</TotalTime>
  <ScaleCrop>false</ScaleCrop>
  <LinksUpToDate>false</LinksUpToDate>
  <CharactersWithSpaces>31141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2020-09-28T02:00:00Z</dcterms:created>
  <dc:creator>爻</dc:creator>
  <cp:lastModifiedBy>Administrator</cp:lastModifiedBy>
  <cp:lastPrinted>2020-11-18T01:01:00Z</cp:lastPrinted>
  <dcterms:modified xsi:type="dcterms:W3CDTF">2020-11-18T03:03:29Z</dcterms:modified>
  <dc:title>机电产品采购</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